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5E67C" w14:textId="2F9AD33C" w:rsidR="00077D12" w:rsidRPr="005E0802" w:rsidRDefault="00077D12" w:rsidP="00633ACE">
      <w:pPr>
        <w:spacing w:line="360" w:lineRule="auto"/>
        <w:rPr>
          <w:rFonts w:ascii="Arial" w:hAnsi="Arial" w:cs="Arial"/>
          <w:sz w:val="20"/>
          <w:szCs w:val="20"/>
        </w:rPr>
      </w:pPr>
    </w:p>
    <w:p w14:paraId="6631DD40" w14:textId="5C5DD927" w:rsidR="009D3F04" w:rsidRPr="009D3F04" w:rsidRDefault="0097722E" w:rsidP="009D3F04">
      <w:pPr>
        <w:tabs>
          <w:tab w:val="left" w:pos="2528"/>
        </w:tabs>
        <w:spacing w:line="360" w:lineRule="auto"/>
        <w:rPr>
          <w:rFonts w:ascii="Arial" w:hAnsi="Arial" w:cs="Arial"/>
          <w:sz w:val="20"/>
          <w:szCs w:val="20"/>
          <w:lang w:val="it-IT"/>
        </w:rPr>
      </w:pPr>
      <w:r w:rsidRPr="005E0802">
        <w:rPr>
          <w:rFonts w:ascii="Arial" w:hAnsi="Arial" w:cs="Arial"/>
          <w:sz w:val="20"/>
          <w:szCs w:val="20"/>
        </w:rPr>
        <w:tab/>
      </w:r>
    </w:p>
    <w:p w14:paraId="25593C2E" w14:textId="67B9672C" w:rsidR="009D3F04" w:rsidRDefault="009D3F04" w:rsidP="00633ACE">
      <w:pPr>
        <w:spacing w:line="360" w:lineRule="auto"/>
        <w:jc w:val="center"/>
        <w:rPr>
          <w:rFonts w:ascii="Arial" w:eastAsiaTheme="minorHAnsi" w:hAnsi="Arial" w:cs="Arial"/>
          <w:b/>
          <w:bCs/>
          <w:color w:val="005CA8"/>
          <w:sz w:val="20"/>
          <w:szCs w:val="20"/>
          <w:lang w:val="it-IT"/>
        </w:rPr>
      </w:pPr>
      <w:r w:rsidRPr="009D3F04">
        <w:rPr>
          <w:rFonts w:ascii="Arial" w:eastAsiaTheme="minorHAnsi" w:hAnsi="Arial" w:cs="Arial"/>
          <w:b/>
          <w:bCs/>
          <w:color w:val="005CA8"/>
          <w:sz w:val="20"/>
          <w:szCs w:val="20"/>
          <w:lang w:val="it-IT"/>
        </w:rPr>
        <w:t>HT_202</w:t>
      </w:r>
      <w:r w:rsidR="002003BB">
        <w:rPr>
          <w:rFonts w:ascii="Arial" w:eastAsiaTheme="minorHAnsi" w:hAnsi="Arial" w:cs="Arial"/>
          <w:b/>
          <w:bCs/>
          <w:color w:val="005CA8"/>
          <w:sz w:val="20"/>
          <w:szCs w:val="20"/>
          <w:lang w:val="it-IT"/>
        </w:rPr>
        <w:t>3</w:t>
      </w:r>
      <w:r w:rsidRPr="009D3F04">
        <w:rPr>
          <w:rFonts w:ascii="Arial" w:eastAsiaTheme="minorHAnsi" w:hAnsi="Arial" w:cs="Arial"/>
          <w:b/>
          <w:bCs/>
          <w:color w:val="005CA8"/>
          <w:sz w:val="20"/>
          <w:szCs w:val="20"/>
          <w:lang w:val="it-IT"/>
        </w:rPr>
        <w:t>_</w:t>
      </w:r>
      <w:r w:rsidR="00ED36D4">
        <w:rPr>
          <w:rFonts w:ascii="Arial" w:eastAsiaTheme="minorHAnsi" w:hAnsi="Arial" w:cs="Arial"/>
          <w:b/>
          <w:bCs/>
          <w:color w:val="005CA8"/>
          <w:sz w:val="20"/>
          <w:szCs w:val="20"/>
          <w:lang w:val="it-IT"/>
        </w:rPr>
        <w:t>025</w:t>
      </w:r>
      <w:r w:rsidR="00F6541B">
        <w:rPr>
          <w:rFonts w:ascii="Arial" w:eastAsiaTheme="minorHAnsi" w:hAnsi="Arial" w:cs="Arial"/>
          <w:b/>
          <w:bCs/>
          <w:color w:val="005CA8"/>
          <w:sz w:val="20"/>
          <w:szCs w:val="20"/>
          <w:lang w:val="it-IT"/>
        </w:rPr>
        <w:t xml:space="preserve"> </w:t>
      </w:r>
    </w:p>
    <w:p w14:paraId="21EB861B" w14:textId="7967FCC6" w:rsidR="0097722E" w:rsidRPr="005E0802" w:rsidRDefault="0097722E" w:rsidP="00633ACE">
      <w:pPr>
        <w:spacing w:line="360" w:lineRule="auto"/>
        <w:jc w:val="center"/>
        <w:rPr>
          <w:rFonts w:ascii="Arial" w:eastAsiaTheme="minorHAnsi" w:hAnsi="Arial" w:cs="Arial"/>
          <w:b/>
          <w:bCs/>
          <w:color w:val="005CA8"/>
          <w:sz w:val="20"/>
          <w:szCs w:val="20"/>
          <w:lang w:val="it-IT"/>
        </w:rPr>
      </w:pPr>
      <w:r w:rsidRPr="005E0802">
        <w:rPr>
          <w:rFonts w:ascii="Arial" w:eastAsiaTheme="minorHAnsi" w:hAnsi="Arial" w:cs="Arial"/>
          <w:b/>
          <w:bCs/>
          <w:color w:val="005CA8"/>
          <w:sz w:val="20"/>
          <w:szCs w:val="20"/>
          <w:lang w:val="it-IT"/>
        </w:rPr>
        <w:t>MODELLO RELAZIONE TECNICA</w:t>
      </w:r>
    </w:p>
    <w:p w14:paraId="7C717690" w14:textId="6027FA48" w:rsidR="0097722E" w:rsidRDefault="0097722E" w:rsidP="00633ACE">
      <w:pPr>
        <w:spacing w:line="360" w:lineRule="auto"/>
        <w:rPr>
          <w:rFonts w:ascii="Arial" w:eastAsiaTheme="minorHAnsi" w:hAnsi="Arial" w:cs="Arial"/>
          <w:b/>
          <w:bCs/>
          <w:color w:val="005CA8"/>
          <w:sz w:val="20"/>
          <w:szCs w:val="20"/>
          <w:lang w:val="it-IT"/>
        </w:rPr>
      </w:pPr>
    </w:p>
    <w:p w14:paraId="78B98ABF" w14:textId="61D8679D" w:rsidR="00B12374" w:rsidRPr="003C5CF3" w:rsidRDefault="003C5CF3" w:rsidP="00322442">
      <w:pPr>
        <w:spacing w:line="360" w:lineRule="auto"/>
        <w:jc w:val="both"/>
        <w:rPr>
          <w:rFonts w:ascii="Arial" w:eastAsiaTheme="minorHAnsi" w:hAnsi="Arial" w:cs="Arial"/>
          <w:b/>
          <w:bCs/>
          <w:sz w:val="20"/>
          <w:szCs w:val="20"/>
          <w:u w:val="single"/>
          <w:lang w:val="it-IT"/>
        </w:rPr>
      </w:pPr>
      <w:r w:rsidRPr="0098125B">
        <w:rPr>
          <w:rFonts w:ascii="Arial" w:eastAsiaTheme="minorHAnsi" w:hAnsi="Arial" w:cs="Arial"/>
          <w:b/>
          <w:bCs/>
          <w:sz w:val="20"/>
          <w:szCs w:val="20"/>
          <w:u w:val="single"/>
          <w:lang w:val="it-IT"/>
        </w:rPr>
        <w:t>Da compilare su carta intestata dell’operatore economico</w:t>
      </w:r>
      <w:r w:rsidR="00322442" w:rsidRPr="0098125B">
        <w:rPr>
          <w:rFonts w:ascii="Arial" w:eastAsiaTheme="minorHAnsi" w:hAnsi="Arial" w:cs="Arial"/>
          <w:b/>
          <w:bCs/>
          <w:sz w:val="20"/>
          <w:szCs w:val="20"/>
          <w:u w:val="single"/>
          <w:lang w:val="it-IT"/>
        </w:rPr>
        <w:t xml:space="preserve"> secondo le modalità e i limiti di cui all’art.</w:t>
      </w:r>
      <w:r w:rsidR="0098125B" w:rsidRPr="0098125B">
        <w:rPr>
          <w:rFonts w:ascii="Arial" w:eastAsiaTheme="minorHAnsi" w:hAnsi="Arial" w:cs="Arial"/>
          <w:b/>
          <w:bCs/>
          <w:sz w:val="20"/>
          <w:szCs w:val="20"/>
          <w:u w:val="single"/>
          <w:lang w:val="it-IT"/>
        </w:rPr>
        <w:t>1</w:t>
      </w:r>
      <w:r w:rsidR="00ED36D4">
        <w:rPr>
          <w:rFonts w:ascii="Arial" w:eastAsiaTheme="minorHAnsi" w:hAnsi="Arial" w:cs="Arial"/>
          <w:b/>
          <w:bCs/>
          <w:sz w:val="20"/>
          <w:szCs w:val="20"/>
          <w:u w:val="single"/>
          <w:lang w:val="it-IT"/>
        </w:rPr>
        <w:t>6</w:t>
      </w:r>
      <w:r w:rsidR="0098125B" w:rsidRPr="0098125B">
        <w:rPr>
          <w:rFonts w:ascii="Arial" w:eastAsiaTheme="minorHAnsi" w:hAnsi="Arial" w:cs="Arial"/>
          <w:b/>
          <w:bCs/>
          <w:sz w:val="20"/>
          <w:szCs w:val="20"/>
          <w:u w:val="single"/>
          <w:lang w:val="it-IT"/>
        </w:rPr>
        <w:t xml:space="preserve"> e con riferimento ai criteri di valutazione di cui al punto 1</w:t>
      </w:r>
      <w:r w:rsidR="00ED36D4">
        <w:rPr>
          <w:rFonts w:ascii="Arial" w:eastAsiaTheme="minorHAnsi" w:hAnsi="Arial" w:cs="Arial"/>
          <w:b/>
          <w:bCs/>
          <w:sz w:val="20"/>
          <w:szCs w:val="20"/>
          <w:u w:val="single"/>
          <w:lang w:val="it-IT"/>
        </w:rPr>
        <w:t>8</w:t>
      </w:r>
      <w:r w:rsidR="0098125B" w:rsidRPr="0098125B">
        <w:rPr>
          <w:rFonts w:ascii="Arial" w:eastAsiaTheme="minorHAnsi" w:hAnsi="Arial" w:cs="Arial"/>
          <w:b/>
          <w:bCs/>
          <w:sz w:val="20"/>
          <w:szCs w:val="20"/>
          <w:u w:val="single"/>
          <w:lang w:val="it-IT"/>
        </w:rPr>
        <w:t>.1</w:t>
      </w:r>
      <w:r w:rsidR="00693636" w:rsidRPr="0098125B">
        <w:rPr>
          <w:rFonts w:ascii="Arial" w:eastAsiaTheme="minorHAnsi" w:hAnsi="Arial" w:cs="Arial"/>
          <w:b/>
          <w:bCs/>
          <w:sz w:val="20"/>
          <w:szCs w:val="20"/>
          <w:u w:val="single"/>
          <w:lang w:val="it-IT"/>
        </w:rPr>
        <w:t xml:space="preserve"> </w:t>
      </w:r>
      <w:r w:rsidR="00322442" w:rsidRPr="0098125B">
        <w:rPr>
          <w:rFonts w:ascii="Arial" w:eastAsiaTheme="minorHAnsi" w:hAnsi="Arial" w:cs="Arial"/>
          <w:b/>
          <w:bCs/>
          <w:sz w:val="20"/>
          <w:szCs w:val="20"/>
          <w:u w:val="single"/>
          <w:lang w:val="it-IT"/>
        </w:rPr>
        <w:t xml:space="preserve">del </w:t>
      </w:r>
      <w:r w:rsidR="00693636" w:rsidRPr="0098125B">
        <w:rPr>
          <w:rFonts w:ascii="Arial" w:eastAsiaTheme="minorHAnsi" w:hAnsi="Arial" w:cs="Arial"/>
          <w:b/>
          <w:bCs/>
          <w:sz w:val="20"/>
          <w:szCs w:val="20"/>
          <w:u w:val="single"/>
          <w:lang w:val="it-IT"/>
        </w:rPr>
        <w:t>Disciplinare</w:t>
      </w:r>
      <w:r w:rsidR="00322442" w:rsidRPr="0098125B">
        <w:rPr>
          <w:rFonts w:ascii="Arial" w:eastAsiaTheme="minorHAnsi" w:hAnsi="Arial" w:cs="Arial"/>
          <w:b/>
          <w:bCs/>
          <w:sz w:val="20"/>
          <w:szCs w:val="20"/>
          <w:u w:val="single"/>
          <w:lang w:val="it-IT"/>
        </w:rPr>
        <w:t>.</w:t>
      </w:r>
    </w:p>
    <w:p w14:paraId="21D04139" w14:textId="4D62E227" w:rsidR="00574D99" w:rsidRPr="005E0802" w:rsidRDefault="00574D99" w:rsidP="00633ACE">
      <w:pPr>
        <w:spacing w:line="360" w:lineRule="auto"/>
        <w:jc w:val="both"/>
        <w:rPr>
          <w:rFonts w:ascii="Arial" w:hAnsi="Arial" w:cs="Arial"/>
          <w:sz w:val="20"/>
          <w:szCs w:val="20"/>
          <w:lang w:val="it-IT"/>
        </w:rPr>
      </w:pPr>
    </w:p>
    <w:p w14:paraId="25A4FC75" w14:textId="4575C881" w:rsidR="008D360F" w:rsidRPr="005E0802" w:rsidRDefault="008D360F" w:rsidP="00633ACE">
      <w:pPr>
        <w:spacing w:line="360" w:lineRule="auto"/>
        <w:jc w:val="both"/>
        <w:rPr>
          <w:rFonts w:ascii="Arial" w:hAnsi="Arial" w:cs="Arial"/>
          <w:sz w:val="20"/>
          <w:szCs w:val="20"/>
          <w:lang w:val="it-IT"/>
        </w:rPr>
      </w:pPr>
    </w:p>
    <w:p w14:paraId="66108B74" w14:textId="4724270E" w:rsidR="00741E52" w:rsidRPr="00263867" w:rsidRDefault="00263867" w:rsidP="00263867">
      <w:pPr>
        <w:pStyle w:val="Heading1"/>
        <w:numPr>
          <w:ilvl w:val="0"/>
          <w:numId w:val="30"/>
        </w:numPr>
        <w:spacing w:line="360" w:lineRule="auto"/>
        <w:jc w:val="both"/>
        <w:rPr>
          <w:rFonts w:ascii="Arial" w:hAnsi="Arial" w:cs="Arial"/>
          <w:color w:val="2F5496" w:themeColor="accent1" w:themeShade="BF"/>
          <w:sz w:val="20"/>
          <w:szCs w:val="20"/>
          <w:lang w:val="it-IT" w:eastAsia="it-IT"/>
        </w:rPr>
      </w:pPr>
      <w:r w:rsidRPr="00263867">
        <w:rPr>
          <w:rFonts w:ascii="Arial" w:eastAsia="Times New Roman" w:hAnsi="Arial" w:cs="Arial"/>
          <w:color w:val="0070C0"/>
          <w:sz w:val="20"/>
          <w:szCs w:val="20"/>
          <w:lang w:val="it-IT"/>
        </w:rPr>
        <w:t>Caratteristiche qualitative della Soluzione DC</w:t>
      </w:r>
      <w:r>
        <w:rPr>
          <w:rFonts w:ascii="Arial" w:eastAsia="Times New Roman" w:hAnsi="Arial" w:cs="Arial"/>
          <w:color w:val="0070C0"/>
          <w:sz w:val="20"/>
          <w:szCs w:val="20"/>
          <w:lang w:val="it-IT"/>
        </w:rPr>
        <w:t xml:space="preserve"> </w:t>
      </w:r>
    </w:p>
    <w:p w14:paraId="3AF5B8CD" w14:textId="77777777" w:rsidR="00263867" w:rsidRDefault="00263867" w:rsidP="00263867">
      <w:pPr>
        <w:pStyle w:val="Heading1"/>
        <w:spacing w:line="360" w:lineRule="auto"/>
        <w:jc w:val="both"/>
        <w:rPr>
          <w:rFonts w:ascii="Arial" w:eastAsia="Times New Roman" w:hAnsi="Arial" w:cs="Arial"/>
          <w:color w:val="0070C0"/>
          <w:sz w:val="20"/>
          <w:szCs w:val="20"/>
          <w:lang w:val="it-IT"/>
        </w:rPr>
      </w:pPr>
    </w:p>
    <w:p w14:paraId="6CBD57F9" w14:textId="1042034D" w:rsidR="00263867" w:rsidRPr="00B7518D" w:rsidRDefault="00263867" w:rsidP="00263867">
      <w:pPr>
        <w:pStyle w:val="Heading1"/>
        <w:numPr>
          <w:ilvl w:val="1"/>
          <w:numId w:val="30"/>
        </w:numPr>
        <w:spacing w:line="360" w:lineRule="auto"/>
        <w:jc w:val="both"/>
        <w:rPr>
          <w:rFonts w:ascii="Arial" w:hAnsi="Arial" w:cs="Arial"/>
          <w:color w:val="2F5496" w:themeColor="accent1" w:themeShade="BF"/>
          <w:sz w:val="20"/>
          <w:szCs w:val="20"/>
          <w:lang w:val="it-IT" w:eastAsia="it-IT"/>
        </w:rPr>
      </w:pPr>
      <w:r>
        <w:rPr>
          <w:rFonts w:ascii="Arial" w:eastAsia="Times New Roman" w:hAnsi="Arial" w:cs="Arial"/>
          <w:color w:val="0070C0"/>
          <w:sz w:val="20"/>
          <w:szCs w:val="20"/>
          <w:lang w:val="it-IT"/>
        </w:rPr>
        <w:t xml:space="preserve"> </w:t>
      </w:r>
      <w:r w:rsidRPr="00263867">
        <w:rPr>
          <w:rFonts w:ascii="Arial" w:eastAsia="Times New Roman" w:hAnsi="Arial" w:cs="Arial"/>
          <w:color w:val="0070C0"/>
          <w:sz w:val="20"/>
          <w:szCs w:val="20"/>
          <w:lang w:val="it-IT"/>
        </w:rPr>
        <w:t>Relazione Tecnica della Soluzione Data Center</w:t>
      </w:r>
    </w:p>
    <w:p w14:paraId="44E30298" w14:textId="1DE62058" w:rsidR="00985268"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r w:rsidRPr="00263867">
        <w:rPr>
          <w:rFonts w:ascii="Arial" w:hAnsi="Arial" w:cs="Arial"/>
          <w:sz w:val="20"/>
          <w:szCs w:val="20"/>
          <w:lang w:val="it-IT" w:eastAsia="it-IT"/>
        </w:rPr>
        <w:t>Costituirà elemento di valutazione la Relazione Tecnica della Soluzione Data Center presentata in sede di Offerta Tecnica.</w:t>
      </w:r>
    </w:p>
    <w:p w14:paraId="5C39B983"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5E091D11" w14:textId="77777777" w:rsidR="00263867" w:rsidRPr="00263867" w:rsidRDefault="00263867" w:rsidP="00263867">
      <w:pPr>
        <w:pStyle w:val="paragraph"/>
        <w:jc w:val="both"/>
        <w:textAlignment w:val="baseline"/>
        <w:rPr>
          <w:rFonts w:ascii="Arial" w:hAnsi="Arial" w:cs="Arial"/>
          <w:sz w:val="20"/>
          <w:szCs w:val="20"/>
          <w:lang w:val="it-IT" w:eastAsia="it-IT"/>
        </w:rPr>
      </w:pPr>
      <w:r w:rsidRPr="00263867">
        <w:rPr>
          <w:rFonts w:ascii="Arial" w:hAnsi="Arial" w:cs="Arial"/>
          <w:sz w:val="20"/>
          <w:szCs w:val="20"/>
          <w:lang w:val="it-IT" w:eastAsia="it-IT"/>
        </w:rPr>
        <w:t xml:space="preserve">• corrispondenza, idoneità, completezza e livello di approfondimento delle migliorie offerte alla proposta tecnica della Soluzione DC presentata in relazione a quanto richiesto nel Capitolato Tecnico e negli Allegati. </w:t>
      </w:r>
    </w:p>
    <w:p w14:paraId="5AC91FA6" w14:textId="1EAD01C0"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r w:rsidRPr="00263867">
        <w:rPr>
          <w:rFonts w:ascii="Arial" w:hAnsi="Arial" w:cs="Arial"/>
          <w:sz w:val="20"/>
          <w:szCs w:val="20"/>
          <w:lang w:val="it-IT" w:eastAsia="it-IT"/>
        </w:rPr>
        <w:t>L’impresa Partecipante dovrà a riguardo specificare e descrivere, in forma tabellare comparativa, le caratteristiche tecnologiche ed operative di fornitura offerte evidenziando le migliorie rispetto ai requisiti di riferimento riportati nei paragrafi afferenti al Capitolato e agli Allegati;</w:t>
      </w:r>
    </w:p>
    <w:p w14:paraId="30D193AE" w14:textId="77777777"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p>
    <w:p w14:paraId="7B433F14" w14:textId="12616E89"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r w:rsidRPr="00263867">
        <w:rPr>
          <w:rFonts w:ascii="Arial" w:hAnsi="Arial" w:cs="Arial"/>
          <w:sz w:val="20"/>
          <w:szCs w:val="20"/>
          <w:lang w:val="it-IT" w:eastAsia="it-IT"/>
        </w:rPr>
        <w:t>• adozione dei criteri di modularità, scalabilità, affidabilità, ridondanza e aderenza alle aspettative di prestazione degli impianti tecnologici di fornitura secondo quanto previsto dallo standard ANSI/TIA-942:2014 rating 3 "Ready";</w:t>
      </w:r>
    </w:p>
    <w:p w14:paraId="52EDD793" w14:textId="77777777"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p>
    <w:p w14:paraId="455AFD42" w14:textId="11D97DD3"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r w:rsidRPr="00263867">
        <w:rPr>
          <w:rFonts w:ascii="Arial" w:hAnsi="Arial" w:cs="Arial"/>
          <w:sz w:val="20"/>
          <w:szCs w:val="20"/>
          <w:lang w:val="it-IT" w:eastAsia="it-IT"/>
        </w:rPr>
        <w:t>• le soluzioni progettuali finalizzate alla mitigazione del "rischio di vibrazioni" derivante dalla vicinanza delle aree individuate per l'installazione della Soluzione Data Center a cantieri complessi in esecuzione;</w:t>
      </w:r>
    </w:p>
    <w:p w14:paraId="68383D94" w14:textId="77777777"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p>
    <w:p w14:paraId="08D8BC4D" w14:textId="77777777"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p>
    <w:p w14:paraId="6E2EF7C3" w14:textId="77777777" w:rsidR="00263867" w:rsidRPr="00263867" w:rsidRDefault="00263867" w:rsidP="00263867">
      <w:pPr>
        <w:pStyle w:val="Heading1"/>
        <w:numPr>
          <w:ilvl w:val="1"/>
          <w:numId w:val="30"/>
        </w:numPr>
        <w:spacing w:line="360" w:lineRule="auto"/>
        <w:jc w:val="both"/>
        <w:rPr>
          <w:rFonts w:ascii="Arial" w:eastAsia="Times New Roman" w:hAnsi="Arial" w:cs="Arial"/>
          <w:color w:val="0070C0"/>
          <w:sz w:val="20"/>
          <w:szCs w:val="20"/>
          <w:lang w:val="it-IT"/>
        </w:rPr>
      </w:pPr>
      <w:r w:rsidRPr="00263867">
        <w:rPr>
          <w:rFonts w:ascii="Arial" w:eastAsia="Times New Roman" w:hAnsi="Arial" w:cs="Arial"/>
          <w:color w:val="0070C0"/>
          <w:sz w:val="20"/>
          <w:szCs w:val="20"/>
          <w:lang w:val="it-IT"/>
        </w:rPr>
        <w:t>Layout della Soluzione Data Center - Razionalizzazione degli ingombri, comunicabilità tra le infrastrutture esistenti del Data Center di Campus</w:t>
      </w:r>
    </w:p>
    <w:p w14:paraId="344190C0" w14:textId="77777777" w:rsidR="00263867" w:rsidRPr="00263867" w:rsidRDefault="00263867" w:rsidP="00263867">
      <w:pPr>
        <w:pStyle w:val="paragraph"/>
        <w:jc w:val="both"/>
        <w:textAlignment w:val="baseline"/>
        <w:rPr>
          <w:rFonts w:ascii="Arial" w:hAnsi="Arial" w:cs="Arial"/>
          <w:sz w:val="20"/>
          <w:szCs w:val="20"/>
          <w:lang w:val="it-IT" w:eastAsia="it-IT"/>
        </w:rPr>
      </w:pPr>
      <w:r w:rsidRPr="00263867">
        <w:rPr>
          <w:rFonts w:ascii="Arial" w:hAnsi="Arial" w:cs="Arial"/>
          <w:sz w:val="20"/>
          <w:szCs w:val="20"/>
          <w:lang w:val="it-IT" w:eastAsia="it-IT"/>
        </w:rPr>
        <w:t>Con riferimento all’Allegato 2 ed Allegato 3, costituirà elemento di valutazione, da dettagliare all'interno della Relazione Tecnica della Soluzione Data Center presentata in sede di Offerta Tecnica,  la tipologia di Layout della Soluzione Data Center che, in relazione alla sua conformazione complessiva, sia in grado di assicurare la razionalizzazione degli spazi (interni/esterni) occupati.  Il Concorrente dovrà allegare planimetria generale dell'area e planimeria del DC in scala 1:200.</w:t>
      </w:r>
    </w:p>
    <w:p w14:paraId="430C084E" w14:textId="525ADC55" w:rsidR="00263867" w:rsidRDefault="00263867" w:rsidP="00263867">
      <w:pPr>
        <w:pStyle w:val="paragraph"/>
        <w:spacing w:before="0" w:beforeAutospacing="0" w:after="0" w:afterAutospacing="0"/>
        <w:jc w:val="both"/>
        <w:textAlignment w:val="baseline"/>
        <w:rPr>
          <w:rFonts w:ascii="Arial" w:hAnsi="Arial" w:cs="Arial"/>
          <w:sz w:val="20"/>
          <w:szCs w:val="20"/>
          <w:lang w:val="it-IT" w:eastAsia="it-IT"/>
        </w:rPr>
      </w:pPr>
      <w:r w:rsidRPr="00263867">
        <w:rPr>
          <w:rFonts w:ascii="Arial" w:hAnsi="Arial" w:cs="Arial"/>
          <w:sz w:val="20"/>
          <w:szCs w:val="20"/>
          <w:lang w:val="it-IT" w:eastAsia="it-IT"/>
        </w:rPr>
        <w:t>A titolo esemplificativo ma non esaustivo si specifica che la Commissione valuterà positivamente eventuali soluzioni progettuali finalizzate all'ottimizzazione del suolo esterno occupato dalla Soluzione Data Center, così come un'organizzazione degli spazi interni della Soluzione Data Center che permetta un uso razionale degli stessi (ad esempio si pensi ai corridoi a disposizione degli operatori del Data Center) e finalizzato alla semplificazione delle attività lavorative da svolgersi all'interno della Soluzione Data Center.</w:t>
      </w:r>
    </w:p>
    <w:p w14:paraId="566C599F"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6F0A9D8F" w14:textId="77777777" w:rsidR="0099193E" w:rsidRDefault="0099193E" w:rsidP="00472A23">
      <w:pPr>
        <w:pStyle w:val="paragraph"/>
        <w:spacing w:before="0" w:beforeAutospacing="0" w:after="0" w:afterAutospacing="0"/>
        <w:jc w:val="both"/>
        <w:textAlignment w:val="baseline"/>
        <w:rPr>
          <w:rFonts w:ascii="Arial" w:hAnsi="Arial" w:cs="Arial"/>
          <w:sz w:val="20"/>
          <w:szCs w:val="20"/>
          <w:lang w:val="it-IT" w:eastAsia="it-IT"/>
        </w:rPr>
      </w:pPr>
    </w:p>
    <w:p w14:paraId="55DA32D8" w14:textId="77777777" w:rsidR="0099193E" w:rsidRDefault="0099193E" w:rsidP="00472A23">
      <w:pPr>
        <w:pStyle w:val="paragraph"/>
        <w:spacing w:before="0" w:beforeAutospacing="0" w:after="0" w:afterAutospacing="0"/>
        <w:jc w:val="both"/>
        <w:textAlignment w:val="baseline"/>
        <w:rPr>
          <w:rFonts w:ascii="Arial" w:hAnsi="Arial" w:cs="Arial"/>
          <w:sz w:val="20"/>
          <w:szCs w:val="20"/>
          <w:lang w:val="it-IT" w:eastAsia="it-IT"/>
        </w:rPr>
      </w:pPr>
    </w:p>
    <w:p w14:paraId="7E5BFF01" w14:textId="7B5819A8" w:rsidR="0099193E" w:rsidRPr="0099193E" w:rsidRDefault="0099193E" w:rsidP="0099193E">
      <w:pPr>
        <w:pStyle w:val="Heading1"/>
        <w:numPr>
          <w:ilvl w:val="0"/>
          <w:numId w:val="30"/>
        </w:numPr>
        <w:spacing w:line="360" w:lineRule="auto"/>
        <w:jc w:val="both"/>
        <w:rPr>
          <w:rFonts w:ascii="Arial" w:eastAsia="Times New Roman" w:hAnsi="Arial" w:cs="Arial"/>
          <w:color w:val="0070C0"/>
          <w:sz w:val="20"/>
          <w:szCs w:val="20"/>
          <w:lang w:val="it-IT"/>
        </w:rPr>
      </w:pPr>
      <w:r w:rsidRPr="0099193E">
        <w:rPr>
          <w:rFonts w:ascii="Arial" w:eastAsia="Times New Roman" w:hAnsi="Arial" w:cs="Arial"/>
          <w:color w:val="0070C0"/>
          <w:sz w:val="20"/>
          <w:szCs w:val="20"/>
          <w:lang w:val="it-IT"/>
        </w:rPr>
        <w:t>Caratteristiche quantitative per il dimensionamento dell'Impianto di cooling/free cooling</w:t>
      </w:r>
    </w:p>
    <w:p w14:paraId="2CB45409"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4D09182D" w14:textId="64E1C98B" w:rsidR="0099193E" w:rsidRPr="0099193E" w:rsidRDefault="0099193E" w:rsidP="0099193E">
      <w:pPr>
        <w:pStyle w:val="Heading1"/>
        <w:numPr>
          <w:ilvl w:val="1"/>
          <w:numId w:val="30"/>
        </w:numPr>
        <w:spacing w:line="360" w:lineRule="auto"/>
        <w:jc w:val="both"/>
        <w:rPr>
          <w:rFonts w:ascii="Arial" w:eastAsia="Times New Roman" w:hAnsi="Arial" w:cs="Arial"/>
          <w:color w:val="0070C0"/>
          <w:sz w:val="20"/>
          <w:szCs w:val="20"/>
          <w:lang w:val="it-IT"/>
        </w:rPr>
      </w:pPr>
      <w:r w:rsidRPr="0099193E">
        <w:rPr>
          <w:rFonts w:ascii="Arial" w:eastAsia="Times New Roman" w:hAnsi="Arial" w:cs="Arial"/>
          <w:color w:val="0070C0"/>
          <w:sz w:val="20"/>
          <w:szCs w:val="20"/>
          <w:lang w:val="it-IT"/>
        </w:rPr>
        <w:t>Impianto di Cooling/Free-Cooling - Soluzioni migliorative proposte – Tipologia di</w:t>
      </w:r>
      <w:r w:rsidRPr="0099193E">
        <w:rPr>
          <w:rFonts w:ascii="Arial" w:eastAsia="Times New Roman" w:hAnsi="Arial" w:cs="Arial"/>
          <w:color w:val="0070C0"/>
          <w:sz w:val="20"/>
          <w:szCs w:val="20"/>
          <w:lang w:val="it-IT"/>
        </w:rPr>
        <w:t xml:space="preserve"> </w:t>
      </w:r>
      <w:r w:rsidRPr="0099193E">
        <w:rPr>
          <w:rFonts w:ascii="Arial" w:eastAsia="Times New Roman" w:hAnsi="Arial" w:cs="Arial"/>
          <w:color w:val="0070C0"/>
          <w:sz w:val="20"/>
          <w:szCs w:val="20"/>
          <w:lang w:val="it-IT"/>
        </w:rPr>
        <w:t xml:space="preserve">impianto di </w:t>
      </w:r>
      <w:r w:rsidRPr="0099193E">
        <w:rPr>
          <w:rFonts w:ascii="Arial" w:eastAsia="Times New Roman" w:hAnsi="Arial" w:cs="Arial"/>
          <w:color w:val="0070C0"/>
          <w:sz w:val="20"/>
          <w:szCs w:val="20"/>
          <w:lang w:val="it-IT"/>
        </w:rPr>
        <w:lastRenderedPageBreak/>
        <w:t>raffrescamento impiegato dal Sistema di Cooling/Free-Cooling</w:t>
      </w:r>
    </w:p>
    <w:p w14:paraId="712C2CF0" w14:textId="760842D0" w:rsidR="00263867" w:rsidRDefault="0099193E" w:rsidP="0099193E">
      <w:pPr>
        <w:pStyle w:val="paragraph"/>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Costituirà elemento migliorativo, al fine di favorire il risparmio energetico, la fornitura di un impianto di raffrescamento che, nell'ambito del Sistema di Cooling/Free-Cooling per la soluzione DC, preveda l'impiego (fornitura a carico dell'Impresa Aggiudicataria) di sistemi automatici di raffrescamento e ventilazione a velocità variabile in funzione del carico termico sviluppato dai sistemi informatici IT.</w:t>
      </w:r>
    </w:p>
    <w:p w14:paraId="0AFC890D"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62638D1F"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007C3617" w14:textId="77777777" w:rsidR="00263867" w:rsidRDefault="00263867" w:rsidP="00472A23">
      <w:pPr>
        <w:pStyle w:val="paragraph"/>
        <w:spacing w:before="0" w:beforeAutospacing="0" w:after="0" w:afterAutospacing="0"/>
        <w:jc w:val="both"/>
        <w:textAlignment w:val="baseline"/>
        <w:rPr>
          <w:rFonts w:ascii="Arial" w:hAnsi="Arial" w:cs="Arial"/>
          <w:sz w:val="20"/>
          <w:szCs w:val="20"/>
          <w:lang w:val="it-IT" w:eastAsia="it-IT"/>
        </w:rPr>
      </w:pPr>
    </w:p>
    <w:p w14:paraId="27E6E7F3" w14:textId="0D4C048D" w:rsidR="0099193E" w:rsidRPr="0099193E" w:rsidRDefault="0099193E" w:rsidP="0099193E">
      <w:pPr>
        <w:pStyle w:val="Heading1"/>
        <w:numPr>
          <w:ilvl w:val="1"/>
          <w:numId w:val="30"/>
        </w:numPr>
        <w:spacing w:line="360" w:lineRule="auto"/>
        <w:jc w:val="both"/>
        <w:rPr>
          <w:rFonts w:ascii="Arial" w:eastAsia="Times New Roman" w:hAnsi="Arial" w:cs="Arial"/>
          <w:color w:val="0070C0"/>
          <w:sz w:val="20"/>
          <w:szCs w:val="20"/>
          <w:lang w:val="it-IT"/>
        </w:rPr>
      </w:pPr>
      <w:r w:rsidRPr="0099193E">
        <w:rPr>
          <w:rFonts w:ascii="Arial" w:eastAsia="Times New Roman" w:hAnsi="Arial" w:cs="Arial"/>
          <w:color w:val="0070C0"/>
          <w:sz w:val="20"/>
          <w:szCs w:val="20"/>
          <w:lang w:val="it-IT"/>
        </w:rPr>
        <w:t>Impianto di Cooling/Free-Cooling - Soluzioni migliorative proposte – Utilizzo di unità</w:t>
      </w:r>
      <w:r w:rsidRPr="0099193E">
        <w:rPr>
          <w:rFonts w:ascii="Arial" w:eastAsia="Times New Roman" w:hAnsi="Arial" w:cs="Arial"/>
          <w:color w:val="0070C0"/>
          <w:sz w:val="20"/>
          <w:szCs w:val="20"/>
          <w:lang w:val="it-IT"/>
        </w:rPr>
        <w:t xml:space="preserve"> </w:t>
      </w:r>
      <w:r w:rsidRPr="0099193E">
        <w:rPr>
          <w:rFonts w:ascii="Arial" w:eastAsia="Times New Roman" w:hAnsi="Arial" w:cs="Arial"/>
          <w:color w:val="0070C0"/>
          <w:sz w:val="20"/>
          <w:szCs w:val="20"/>
          <w:lang w:val="it-IT"/>
        </w:rPr>
        <w:t>di raffrescamento con 3 modalità di funzionamento.</w:t>
      </w:r>
    </w:p>
    <w:p w14:paraId="2DBBEDA6" w14:textId="6F41E1F6" w:rsidR="0099193E" w:rsidRDefault="0099193E" w:rsidP="0099193E">
      <w:pPr>
        <w:pStyle w:val="paragraph"/>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Costituirà elemento migliorativo, l’utilizzo di sistemi di raffrescamento integrati, realizzati con materiali non soggetti a corrosione, autopulenti, a basso impatto di manutenzione (le singole unità/moduli di raffrescamento devono poter essere agevolmente rimossi sul posto al fine di poter essere manutenuti e/o riparati) in grado di raffrescare l’intero Data Center prevalentemente in modalità “free-cooling indiretto” nelle seguenti tipologie di funzionamento, che dovranno essere fornite contemporaneamente:</w:t>
      </w:r>
    </w:p>
    <w:p w14:paraId="618598C9" w14:textId="77777777" w:rsidR="0099193E" w:rsidRDefault="0099193E" w:rsidP="0099193E">
      <w:pPr>
        <w:pStyle w:val="paragraph"/>
        <w:spacing w:before="0" w:beforeAutospacing="0" w:after="0" w:afterAutospacing="0"/>
        <w:jc w:val="both"/>
        <w:textAlignment w:val="baseline"/>
        <w:rPr>
          <w:rFonts w:ascii="Arial" w:hAnsi="Arial" w:cs="Arial"/>
          <w:sz w:val="20"/>
          <w:szCs w:val="20"/>
          <w:lang w:val="it-IT" w:eastAsia="it-IT"/>
        </w:rPr>
      </w:pPr>
    </w:p>
    <w:p w14:paraId="79EF08F7" w14:textId="77D9E5AC" w:rsidR="0099193E" w:rsidRDefault="0099193E" w:rsidP="0099193E">
      <w:pPr>
        <w:pStyle w:val="paragraph"/>
        <w:numPr>
          <w:ilvl w:val="0"/>
          <w:numId w:val="31"/>
        </w:numPr>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modalità “dry cooling” per i mesi invernali in grado di consentire il raffreddamento dell’aria/acqua calda proveniente dal Data Center esclusivamente attraverso lo scambiatore di calore aria-aria - acqua/aria integrato all’interno del modulo/unità di free-cooling (a riguardo si precisa che l’aria esterna non deve mai entrare a diretto contatto con l’aria interna del Data Center),</w:t>
      </w:r>
    </w:p>
    <w:p w14:paraId="2C2DE5E9" w14:textId="679872B1" w:rsidR="0099193E" w:rsidRDefault="0099193E" w:rsidP="0099193E">
      <w:pPr>
        <w:pStyle w:val="paragraph"/>
        <w:numPr>
          <w:ilvl w:val="0"/>
          <w:numId w:val="31"/>
        </w:numPr>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modalità “wet cooling” basata sul principio di nebulizzare lo scambiatore di calore aria-aria - acqua/aria quando le condizioni ambientali non sono tali da consentire il pieno smaltimento di calore attraverso la modalità “dry cooling”;</w:t>
      </w:r>
    </w:p>
    <w:p w14:paraId="47575D4B" w14:textId="2C7B7A8F" w:rsidR="0099193E" w:rsidRDefault="0099193E" w:rsidP="0099193E">
      <w:pPr>
        <w:pStyle w:val="paragraph"/>
        <w:numPr>
          <w:ilvl w:val="0"/>
          <w:numId w:val="31"/>
        </w:numPr>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modalità “trim cooling” per i mesi estivi, basata sull’ausilio di circuiti frigoriferi e di compressori, in grado di smaltire il solo calore residuo che la modalità "wet" non riesce ad eliminare (dovranno attivarsi in automatico, in funzione del calore residuo).</w:t>
      </w:r>
    </w:p>
    <w:p w14:paraId="4584F7AB" w14:textId="77777777" w:rsidR="0087046F" w:rsidRDefault="0087046F" w:rsidP="0087046F">
      <w:pPr>
        <w:pStyle w:val="paragraph"/>
        <w:spacing w:before="0" w:beforeAutospacing="0" w:after="0" w:afterAutospacing="0"/>
        <w:jc w:val="both"/>
        <w:textAlignment w:val="baseline"/>
        <w:rPr>
          <w:rFonts w:ascii="Arial" w:hAnsi="Arial" w:cs="Arial"/>
          <w:sz w:val="20"/>
          <w:szCs w:val="20"/>
          <w:lang w:val="it-IT" w:eastAsia="it-IT"/>
        </w:rPr>
      </w:pPr>
    </w:p>
    <w:p w14:paraId="36EE1286" w14:textId="77777777" w:rsidR="0087046F" w:rsidRDefault="0087046F" w:rsidP="0087046F">
      <w:pPr>
        <w:pStyle w:val="paragraph"/>
        <w:spacing w:before="0" w:beforeAutospacing="0" w:after="0" w:afterAutospacing="0"/>
        <w:jc w:val="both"/>
        <w:textAlignment w:val="baseline"/>
        <w:rPr>
          <w:rFonts w:ascii="Arial" w:hAnsi="Arial" w:cs="Arial"/>
          <w:sz w:val="20"/>
          <w:szCs w:val="20"/>
          <w:lang w:val="it-IT" w:eastAsia="it-IT"/>
        </w:rPr>
      </w:pPr>
    </w:p>
    <w:p w14:paraId="2570771F" w14:textId="77777777" w:rsidR="0099193E" w:rsidRDefault="0099193E" w:rsidP="0099193E">
      <w:pPr>
        <w:pStyle w:val="paragraph"/>
        <w:spacing w:before="0" w:beforeAutospacing="0" w:after="0" w:afterAutospacing="0"/>
        <w:jc w:val="both"/>
        <w:textAlignment w:val="baseline"/>
        <w:rPr>
          <w:rFonts w:ascii="Arial" w:hAnsi="Arial" w:cs="Arial"/>
          <w:sz w:val="20"/>
          <w:szCs w:val="20"/>
          <w:lang w:val="it-IT" w:eastAsia="it-IT"/>
        </w:rPr>
      </w:pPr>
    </w:p>
    <w:p w14:paraId="3E0CB906" w14:textId="6E3361FF" w:rsidR="0099193E" w:rsidRDefault="0099193E" w:rsidP="0099193E">
      <w:pPr>
        <w:pStyle w:val="Heading1"/>
        <w:numPr>
          <w:ilvl w:val="0"/>
          <w:numId w:val="30"/>
        </w:numPr>
        <w:spacing w:line="360" w:lineRule="auto"/>
        <w:jc w:val="both"/>
        <w:rPr>
          <w:rFonts w:ascii="Arial" w:eastAsia="Times New Roman" w:hAnsi="Arial" w:cs="Arial"/>
          <w:color w:val="0070C0"/>
          <w:sz w:val="20"/>
          <w:szCs w:val="20"/>
          <w:lang w:val="it-IT"/>
        </w:rPr>
      </w:pPr>
      <w:r w:rsidRPr="0099193E">
        <w:rPr>
          <w:rFonts w:ascii="Arial" w:eastAsia="Times New Roman" w:hAnsi="Arial" w:cs="Arial"/>
          <w:color w:val="0070C0"/>
          <w:sz w:val="20"/>
          <w:szCs w:val="20"/>
          <w:lang w:val="it-IT"/>
        </w:rPr>
        <w:t>Caratteristiche quantitative del Servizio di Assistenza Tecnica e Manutenzione - modalità proattiva</w:t>
      </w:r>
    </w:p>
    <w:p w14:paraId="1AA5725D" w14:textId="77777777" w:rsidR="00D42377" w:rsidRDefault="00D42377" w:rsidP="00D42377">
      <w:pPr>
        <w:pStyle w:val="Heading1"/>
        <w:spacing w:line="360" w:lineRule="auto"/>
        <w:ind w:left="720" w:firstLine="0"/>
        <w:jc w:val="both"/>
        <w:rPr>
          <w:rFonts w:ascii="Arial" w:eastAsia="Times New Roman" w:hAnsi="Arial" w:cs="Arial"/>
          <w:color w:val="0070C0"/>
          <w:sz w:val="20"/>
          <w:szCs w:val="20"/>
          <w:lang w:val="it-IT"/>
        </w:rPr>
      </w:pPr>
    </w:p>
    <w:p w14:paraId="1B2CF60E" w14:textId="77777777" w:rsidR="0099193E" w:rsidRPr="0099193E" w:rsidRDefault="0099193E" w:rsidP="00D85610">
      <w:pPr>
        <w:pStyle w:val="Heading1"/>
        <w:numPr>
          <w:ilvl w:val="1"/>
          <w:numId w:val="30"/>
        </w:numPr>
        <w:spacing w:line="360" w:lineRule="auto"/>
        <w:jc w:val="both"/>
        <w:rPr>
          <w:rFonts w:ascii="Arial" w:eastAsia="Times New Roman" w:hAnsi="Arial" w:cs="Arial"/>
          <w:color w:val="0070C0"/>
          <w:sz w:val="20"/>
          <w:szCs w:val="20"/>
          <w:lang w:val="it-IT"/>
        </w:rPr>
      </w:pPr>
      <w:r w:rsidRPr="0099193E">
        <w:rPr>
          <w:rFonts w:ascii="Arial" w:eastAsia="Times New Roman" w:hAnsi="Arial" w:cs="Arial"/>
          <w:color w:val="0070C0"/>
          <w:sz w:val="20"/>
          <w:szCs w:val="20"/>
          <w:lang w:val="it-IT"/>
        </w:rPr>
        <w:t>Servizio di Assistenza Tecnica e Manutenzione – modalità proattiva per UPS</w:t>
      </w:r>
    </w:p>
    <w:p w14:paraId="26E83940" w14:textId="77777777" w:rsidR="0099193E" w:rsidRPr="0099193E" w:rsidRDefault="0099193E" w:rsidP="0099193E">
      <w:pPr>
        <w:pStyle w:val="Heading1"/>
        <w:spacing w:line="360" w:lineRule="auto"/>
        <w:jc w:val="both"/>
        <w:rPr>
          <w:rFonts w:ascii="Arial" w:eastAsia="Times New Roman" w:hAnsi="Arial" w:cs="Arial"/>
          <w:color w:val="0070C0"/>
          <w:sz w:val="20"/>
          <w:szCs w:val="20"/>
          <w:lang w:val="it-IT"/>
        </w:rPr>
      </w:pPr>
    </w:p>
    <w:p w14:paraId="35E90EA3" w14:textId="77777777" w:rsidR="0099193E" w:rsidRPr="0099193E" w:rsidRDefault="0099193E" w:rsidP="0099193E">
      <w:pPr>
        <w:pStyle w:val="paragraph"/>
        <w:spacing w:before="0" w:beforeAutospacing="0" w:after="0" w:afterAutospacing="0"/>
        <w:jc w:val="both"/>
        <w:textAlignment w:val="baseline"/>
        <w:rPr>
          <w:rFonts w:ascii="Arial" w:hAnsi="Arial" w:cs="Arial"/>
          <w:sz w:val="20"/>
          <w:szCs w:val="20"/>
          <w:lang w:val="it-IT" w:eastAsia="it-IT"/>
        </w:rPr>
      </w:pPr>
      <w:r w:rsidRPr="0099193E">
        <w:rPr>
          <w:rFonts w:ascii="Arial" w:hAnsi="Arial" w:cs="Arial"/>
          <w:sz w:val="20"/>
          <w:szCs w:val="20"/>
          <w:lang w:val="it-IT" w:eastAsia="it-IT"/>
        </w:rPr>
        <w:t>Con riferimento al paragrafo 5.6 del Capitolato Tecnico, nell’ambito della Modalità Proattiva del Servizio di Assistenza Tecnica e Manutenzione, indicare il numero annuo di interventi on-site di manutenzione preventiva programmata on-site per gli UPS (UPS), non inferiore al valore minimo di n. 2 per anno.</w:t>
      </w:r>
    </w:p>
    <w:p w14:paraId="48E35A82" w14:textId="77777777" w:rsidR="0099193E" w:rsidRDefault="0099193E" w:rsidP="0099193E">
      <w:pPr>
        <w:pStyle w:val="Heading1"/>
        <w:spacing w:line="360" w:lineRule="auto"/>
        <w:jc w:val="both"/>
        <w:rPr>
          <w:rFonts w:ascii="Arial" w:eastAsia="Times New Roman" w:hAnsi="Arial" w:cs="Arial"/>
          <w:color w:val="0070C0"/>
          <w:sz w:val="20"/>
          <w:szCs w:val="20"/>
          <w:lang w:val="it-IT"/>
        </w:rPr>
      </w:pPr>
    </w:p>
    <w:p w14:paraId="75D0F6A4" w14:textId="77777777" w:rsidR="00D85610" w:rsidRPr="00D85610" w:rsidRDefault="00D85610" w:rsidP="00D85610">
      <w:pPr>
        <w:pStyle w:val="Heading1"/>
        <w:numPr>
          <w:ilvl w:val="1"/>
          <w:numId w:val="30"/>
        </w:numPr>
        <w:spacing w:line="360" w:lineRule="auto"/>
        <w:jc w:val="both"/>
        <w:rPr>
          <w:rFonts w:ascii="Arial" w:eastAsia="Times New Roman" w:hAnsi="Arial" w:cs="Arial"/>
          <w:color w:val="0070C0"/>
          <w:sz w:val="20"/>
          <w:szCs w:val="20"/>
          <w:lang w:val="it-IT"/>
        </w:rPr>
      </w:pPr>
      <w:r w:rsidRPr="00D85610">
        <w:rPr>
          <w:rFonts w:ascii="Arial" w:eastAsia="Times New Roman" w:hAnsi="Arial" w:cs="Arial"/>
          <w:color w:val="0070C0"/>
          <w:sz w:val="20"/>
          <w:szCs w:val="20"/>
          <w:lang w:val="it-IT"/>
        </w:rPr>
        <w:t>Servizio di Assistenza Tecnica e Manutenzione – modalità proattiva per Impianti elettrici, Cabine e Quadri elettrici</w:t>
      </w:r>
    </w:p>
    <w:p w14:paraId="6C92ED95" w14:textId="77777777" w:rsidR="00D85610" w:rsidRPr="00D85610" w:rsidRDefault="00D85610" w:rsidP="00D85610">
      <w:pPr>
        <w:pStyle w:val="Heading1"/>
        <w:spacing w:line="360" w:lineRule="auto"/>
        <w:jc w:val="both"/>
        <w:rPr>
          <w:rFonts w:ascii="Arial" w:eastAsia="Times New Roman" w:hAnsi="Arial" w:cs="Arial"/>
          <w:color w:val="0070C0"/>
          <w:sz w:val="20"/>
          <w:szCs w:val="20"/>
          <w:lang w:val="it-IT"/>
        </w:rPr>
      </w:pPr>
    </w:p>
    <w:p w14:paraId="5BB15EA5" w14:textId="77777777" w:rsidR="00D85610" w:rsidRDefault="00D85610" w:rsidP="00D85610">
      <w:pPr>
        <w:pStyle w:val="paragraph"/>
        <w:spacing w:before="0" w:beforeAutospacing="0" w:after="0" w:afterAutospacing="0"/>
        <w:jc w:val="both"/>
        <w:textAlignment w:val="baseline"/>
        <w:rPr>
          <w:rFonts w:ascii="Arial" w:hAnsi="Arial" w:cs="Arial"/>
          <w:sz w:val="20"/>
          <w:szCs w:val="20"/>
          <w:lang w:val="it-IT" w:eastAsia="it-IT"/>
        </w:rPr>
      </w:pPr>
      <w:r w:rsidRPr="00D85610">
        <w:rPr>
          <w:rFonts w:ascii="Arial" w:hAnsi="Arial" w:cs="Arial"/>
          <w:sz w:val="20"/>
          <w:szCs w:val="20"/>
          <w:lang w:val="it-IT" w:eastAsia="it-IT"/>
        </w:rPr>
        <w:t>Con riferimento al paragrafo 5.6 del Capitolato Tecnico, nell’ambito della Modalità Proattiva del Servizio di Assistenza Tecnica e Manutenzione, indicare il numero annuo di interventi di manutenzione preventiva programmata on-site per gli Impianti elettrici, le Cabine e i Quadri elettrici, non inferiore al valore minimo di n. 1 per anno.</w:t>
      </w:r>
    </w:p>
    <w:p w14:paraId="5CE6E30D" w14:textId="77777777" w:rsidR="00D85610" w:rsidRDefault="00D85610" w:rsidP="00D85610">
      <w:pPr>
        <w:pStyle w:val="paragraph"/>
        <w:spacing w:before="0" w:beforeAutospacing="0" w:after="0" w:afterAutospacing="0"/>
        <w:jc w:val="both"/>
        <w:textAlignment w:val="baseline"/>
        <w:rPr>
          <w:rFonts w:ascii="Arial" w:hAnsi="Arial" w:cs="Arial"/>
          <w:sz w:val="20"/>
          <w:szCs w:val="20"/>
          <w:lang w:val="it-IT" w:eastAsia="it-IT"/>
        </w:rPr>
      </w:pPr>
    </w:p>
    <w:p w14:paraId="681F40A9" w14:textId="77777777" w:rsidR="00D85610" w:rsidRDefault="00D85610" w:rsidP="00D85610">
      <w:pPr>
        <w:pStyle w:val="paragraph"/>
        <w:spacing w:before="0" w:beforeAutospacing="0" w:after="0" w:afterAutospacing="0"/>
        <w:jc w:val="both"/>
        <w:textAlignment w:val="baseline"/>
        <w:rPr>
          <w:rFonts w:ascii="Arial" w:hAnsi="Arial" w:cs="Arial"/>
          <w:sz w:val="20"/>
          <w:szCs w:val="20"/>
          <w:lang w:val="it-IT" w:eastAsia="it-IT"/>
        </w:rPr>
      </w:pPr>
    </w:p>
    <w:p w14:paraId="0C45E0A9" w14:textId="77777777" w:rsidR="00D85610" w:rsidRPr="00D85610" w:rsidRDefault="00D85610" w:rsidP="00D85610">
      <w:pPr>
        <w:pStyle w:val="Heading1"/>
        <w:numPr>
          <w:ilvl w:val="1"/>
          <w:numId w:val="30"/>
        </w:numPr>
        <w:spacing w:line="360" w:lineRule="auto"/>
        <w:jc w:val="both"/>
        <w:rPr>
          <w:rFonts w:ascii="Arial" w:eastAsia="Times New Roman" w:hAnsi="Arial" w:cs="Arial"/>
          <w:color w:val="0070C0"/>
          <w:sz w:val="20"/>
          <w:szCs w:val="20"/>
          <w:lang w:val="it-IT"/>
        </w:rPr>
      </w:pPr>
      <w:r w:rsidRPr="00D85610">
        <w:rPr>
          <w:rFonts w:ascii="Arial" w:eastAsia="Times New Roman" w:hAnsi="Arial" w:cs="Arial"/>
          <w:color w:val="0070C0"/>
          <w:sz w:val="20"/>
          <w:szCs w:val="20"/>
          <w:lang w:val="it-IT"/>
        </w:rPr>
        <w:t>Servizio di Assistenza Tecnica e Manutenzione – modalità proattiva per Impianti di Cooling/Free-Cooling</w:t>
      </w:r>
    </w:p>
    <w:p w14:paraId="797AC403" w14:textId="77777777" w:rsidR="00D85610" w:rsidRDefault="00D85610" w:rsidP="00D85610">
      <w:pPr>
        <w:pStyle w:val="paragraph"/>
        <w:jc w:val="both"/>
        <w:textAlignment w:val="baseline"/>
        <w:rPr>
          <w:rFonts w:ascii="Arial" w:hAnsi="Arial" w:cs="Arial"/>
          <w:sz w:val="20"/>
          <w:szCs w:val="20"/>
          <w:lang w:val="it-IT" w:eastAsia="it-IT"/>
        </w:rPr>
      </w:pPr>
      <w:r w:rsidRPr="00D85610">
        <w:rPr>
          <w:rFonts w:ascii="Arial" w:hAnsi="Arial" w:cs="Arial"/>
          <w:sz w:val="20"/>
          <w:szCs w:val="20"/>
          <w:lang w:val="it-IT" w:eastAsia="it-IT"/>
        </w:rPr>
        <w:lastRenderedPageBreak/>
        <w:t>Con riferimento al paragrafo 5.6 del Capitolato Tecnico, nell’ambito della Modalità Proattiva del Servizio di Assistenza Tecnica e Manutenzione, indicare il numero annuo di interventi di manutenzione preventiva programmata on-site per Impianti di Cooling/Free-Cooling, non inferiore al valore minimo di n. 4 per anno.</w:t>
      </w:r>
    </w:p>
    <w:p w14:paraId="7E30BEBA" w14:textId="77777777" w:rsidR="00D85610" w:rsidRDefault="00D85610" w:rsidP="00D85610">
      <w:pPr>
        <w:pStyle w:val="paragraph"/>
        <w:jc w:val="both"/>
        <w:textAlignment w:val="baseline"/>
        <w:rPr>
          <w:rFonts w:ascii="Arial" w:hAnsi="Arial" w:cs="Arial"/>
          <w:sz w:val="20"/>
          <w:szCs w:val="20"/>
          <w:lang w:val="it-IT" w:eastAsia="it-IT"/>
        </w:rPr>
      </w:pPr>
    </w:p>
    <w:p w14:paraId="5A3BCA9C" w14:textId="77777777" w:rsidR="00D85610" w:rsidRDefault="00D85610" w:rsidP="00D85610">
      <w:pPr>
        <w:pStyle w:val="paragraph"/>
        <w:jc w:val="both"/>
        <w:textAlignment w:val="baseline"/>
        <w:rPr>
          <w:rFonts w:ascii="Arial" w:hAnsi="Arial" w:cs="Arial"/>
          <w:sz w:val="20"/>
          <w:szCs w:val="20"/>
          <w:lang w:val="it-IT" w:eastAsia="it-IT"/>
        </w:rPr>
      </w:pPr>
    </w:p>
    <w:p w14:paraId="0D1E2690" w14:textId="47D7A2D4" w:rsidR="00D85610" w:rsidRDefault="0087046F" w:rsidP="0087046F">
      <w:pPr>
        <w:pStyle w:val="Heading1"/>
        <w:numPr>
          <w:ilvl w:val="0"/>
          <w:numId w:val="30"/>
        </w:numPr>
        <w:spacing w:line="360" w:lineRule="auto"/>
        <w:jc w:val="both"/>
        <w:rPr>
          <w:rFonts w:ascii="Arial" w:eastAsia="Times New Roman" w:hAnsi="Arial" w:cs="Arial"/>
          <w:color w:val="0070C0"/>
          <w:sz w:val="20"/>
          <w:szCs w:val="20"/>
          <w:lang w:val="it-IT"/>
        </w:rPr>
      </w:pPr>
      <w:r w:rsidRPr="0087046F">
        <w:rPr>
          <w:rFonts w:ascii="Arial" w:eastAsia="Times New Roman" w:hAnsi="Arial" w:cs="Arial"/>
          <w:color w:val="0070C0"/>
          <w:sz w:val="20"/>
          <w:szCs w:val="20"/>
          <w:lang w:val="it-IT"/>
        </w:rPr>
        <w:t>Caratteristiche quantitative tecniche e funzionali migliorative della Fornitura</w:t>
      </w:r>
    </w:p>
    <w:p w14:paraId="661B5A90" w14:textId="77777777" w:rsidR="00D42377" w:rsidRPr="0087046F" w:rsidRDefault="00D42377" w:rsidP="00D42377">
      <w:pPr>
        <w:pStyle w:val="Heading1"/>
        <w:spacing w:line="360" w:lineRule="auto"/>
        <w:ind w:left="720" w:firstLine="0"/>
        <w:jc w:val="both"/>
        <w:rPr>
          <w:rFonts w:ascii="Arial" w:eastAsia="Times New Roman" w:hAnsi="Arial" w:cs="Arial"/>
          <w:color w:val="0070C0"/>
          <w:sz w:val="20"/>
          <w:szCs w:val="20"/>
          <w:lang w:val="it-IT"/>
        </w:rPr>
      </w:pPr>
    </w:p>
    <w:p w14:paraId="065322B9" w14:textId="09A7D332" w:rsidR="0087046F" w:rsidRPr="0087046F" w:rsidRDefault="0087046F" w:rsidP="0087046F">
      <w:pPr>
        <w:pStyle w:val="Heading1"/>
        <w:numPr>
          <w:ilvl w:val="1"/>
          <w:numId w:val="30"/>
        </w:numPr>
        <w:spacing w:line="360" w:lineRule="auto"/>
        <w:jc w:val="both"/>
        <w:rPr>
          <w:rFonts w:ascii="Arial" w:eastAsia="Times New Roman" w:hAnsi="Arial" w:cs="Arial"/>
          <w:color w:val="0070C0"/>
          <w:sz w:val="20"/>
          <w:szCs w:val="20"/>
          <w:lang w:val="it-IT"/>
        </w:rPr>
      </w:pPr>
      <w:r w:rsidRPr="0087046F">
        <w:rPr>
          <w:rFonts w:ascii="Arial" w:eastAsia="Times New Roman" w:hAnsi="Arial" w:cs="Arial"/>
          <w:color w:val="0070C0"/>
          <w:sz w:val="20"/>
          <w:szCs w:val="20"/>
          <w:lang w:val="it-IT"/>
        </w:rPr>
        <w:t>Stima dell'efficienza energetica della Soluzione Data Center mediante calcolo del PUE –</w:t>
      </w:r>
      <w:r w:rsidRPr="0087046F">
        <w:rPr>
          <w:rFonts w:ascii="Arial" w:eastAsia="Times New Roman" w:hAnsi="Arial" w:cs="Arial"/>
          <w:color w:val="0070C0"/>
          <w:sz w:val="20"/>
          <w:szCs w:val="20"/>
          <w:lang w:val="it-IT"/>
        </w:rPr>
        <w:t xml:space="preserve"> </w:t>
      </w:r>
      <w:r w:rsidRPr="0087046F">
        <w:rPr>
          <w:rFonts w:ascii="Arial" w:eastAsia="Times New Roman" w:hAnsi="Arial" w:cs="Arial"/>
          <w:color w:val="0070C0"/>
          <w:sz w:val="20"/>
          <w:szCs w:val="20"/>
          <w:lang w:val="it-IT"/>
        </w:rPr>
        <w:t>Riduzione del PUE</w:t>
      </w:r>
    </w:p>
    <w:p w14:paraId="2FB3A86F" w14:textId="77777777" w:rsidR="0087046F" w:rsidRPr="0087046F" w:rsidRDefault="0087046F" w:rsidP="0087046F">
      <w:pPr>
        <w:pStyle w:val="paragraph"/>
        <w:jc w:val="both"/>
        <w:textAlignment w:val="baseline"/>
        <w:rPr>
          <w:rFonts w:ascii="Arial" w:hAnsi="Arial" w:cs="Arial"/>
          <w:sz w:val="20"/>
          <w:szCs w:val="20"/>
          <w:lang w:val="it-IT" w:eastAsia="it-IT"/>
        </w:rPr>
      </w:pPr>
      <w:r w:rsidRPr="0087046F">
        <w:rPr>
          <w:rFonts w:ascii="Arial" w:hAnsi="Arial" w:cs="Arial"/>
          <w:sz w:val="20"/>
          <w:szCs w:val="20"/>
          <w:lang w:val="it-IT" w:eastAsia="it-IT"/>
        </w:rPr>
        <w:t xml:space="preserve">Con riferimento al dimensionamento degli impianti tecnologici e al free-cooling e tenendo conto dell’assorbimento delle apparecchiature informatiche previste per ciascun rack, indicare il valore dell’indice di efficienza simulata del Data Center “PUE" (Power Usage Effectiveness) inteso come PUEMAX non superiore al valore massimo ammissibile del PUE pari a 1.50. </w:t>
      </w:r>
    </w:p>
    <w:p w14:paraId="30109C72" w14:textId="77777777" w:rsidR="0087046F" w:rsidRPr="0087046F" w:rsidRDefault="0087046F" w:rsidP="0087046F">
      <w:pPr>
        <w:pStyle w:val="Heading1"/>
        <w:numPr>
          <w:ilvl w:val="1"/>
          <w:numId w:val="30"/>
        </w:numPr>
        <w:spacing w:line="360" w:lineRule="auto"/>
        <w:jc w:val="both"/>
        <w:rPr>
          <w:rFonts w:ascii="Arial" w:eastAsia="Times New Roman" w:hAnsi="Arial" w:cs="Arial"/>
          <w:color w:val="0070C0"/>
          <w:sz w:val="20"/>
          <w:szCs w:val="20"/>
          <w:lang w:val="it-IT"/>
        </w:rPr>
      </w:pPr>
      <w:r w:rsidRPr="0087046F">
        <w:rPr>
          <w:rFonts w:ascii="Arial" w:eastAsia="Times New Roman" w:hAnsi="Arial" w:cs="Arial"/>
          <w:color w:val="0070C0"/>
          <w:sz w:val="20"/>
          <w:szCs w:val="20"/>
          <w:lang w:val="it-IT"/>
        </w:rPr>
        <w:t>Impianto dati – Soluzione migliorativa proposta</w:t>
      </w:r>
    </w:p>
    <w:p w14:paraId="75BEA258" w14:textId="4884B6DB" w:rsidR="00D85610" w:rsidRDefault="0087046F" w:rsidP="0087046F">
      <w:pPr>
        <w:pStyle w:val="paragraph"/>
        <w:jc w:val="both"/>
        <w:textAlignment w:val="baseline"/>
        <w:rPr>
          <w:rFonts w:ascii="Arial" w:hAnsi="Arial" w:cs="Arial"/>
          <w:sz w:val="20"/>
          <w:szCs w:val="20"/>
          <w:lang w:val="it-IT" w:eastAsia="it-IT"/>
        </w:rPr>
      </w:pPr>
      <w:r w:rsidRPr="0087046F">
        <w:rPr>
          <w:rFonts w:ascii="Arial" w:hAnsi="Arial" w:cs="Arial"/>
          <w:sz w:val="20"/>
          <w:szCs w:val="20"/>
          <w:lang w:val="it-IT" w:eastAsia="it-IT"/>
        </w:rPr>
        <w:t>Con riferimento al dimensionamento dell’impianto dati per la Soluzione DC di cui all’Allegato 1, costituirà elemento migliorativo la fornitura e l’installazione "aggiuntiva" di una Tecnologia di cablaggio ottico ad alta densità che impieghi pannelli di permutazione modulari in fibra ottica ad alta densità MTP/MPO per l’intera soluzione</w:t>
      </w:r>
    </w:p>
    <w:p w14:paraId="1A043BB3" w14:textId="77777777" w:rsidR="0087046F" w:rsidRDefault="0087046F" w:rsidP="0087046F">
      <w:pPr>
        <w:pStyle w:val="paragraph"/>
        <w:jc w:val="both"/>
        <w:textAlignment w:val="baseline"/>
        <w:rPr>
          <w:rFonts w:ascii="Arial" w:hAnsi="Arial" w:cs="Arial"/>
          <w:sz w:val="20"/>
          <w:szCs w:val="20"/>
          <w:lang w:val="it-IT" w:eastAsia="it-IT"/>
        </w:rPr>
      </w:pPr>
    </w:p>
    <w:p w14:paraId="6B0447B8" w14:textId="0EA6769F" w:rsidR="0087046F" w:rsidRDefault="00516EFF" w:rsidP="00516EFF">
      <w:pPr>
        <w:pStyle w:val="Heading1"/>
        <w:numPr>
          <w:ilvl w:val="0"/>
          <w:numId w:val="30"/>
        </w:numPr>
        <w:spacing w:line="360" w:lineRule="auto"/>
        <w:jc w:val="both"/>
        <w:rPr>
          <w:rFonts w:ascii="Arial" w:eastAsia="Times New Roman" w:hAnsi="Arial" w:cs="Arial"/>
          <w:color w:val="0070C0"/>
          <w:sz w:val="20"/>
          <w:szCs w:val="20"/>
          <w:lang w:val="it-IT"/>
        </w:rPr>
      </w:pPr>
      <w:r w:rsidRPr="00516EFF">
        <w:rPr>
          <w:rFonts w:ascii="Arial" w:eastAsia="Times New Roman" w:hAnsi="Arial" w:cs="Arial"/>
          <w:color w:val="0070C0"/>
          <w:sz w:val="20"/>
          <w:szCs w:val="20"/>
          <w:lang w:val="it-IT"/>
        </w:rPr>
        <w:t>Miglioramento quantitativo dei tempi di fornitura ed installazione</w:t>
      </w:r>
    </w:p>
    <w:p w14:paraId="4E102DEA" w14:textId="77777777" w:rsidR="00D42377" w:rsidRPr="00516EFF" w:rsidRDefault="00D42377" w:rsidP="00D42377">
      <w:pPr>
        <w:pStyle w:val="Heading1"/>
        <w:spacing w:line="360" w:lineRule="auto"/>
        <w:ind w:left="720" w:firstLine="0"/>
        <w:jc w:val="both"/>
        <w:rPr>
          <w:rFonts w:ascii="Arial" w:eastAsia="Times New Roman" w:hAnsi="Arial" w:cs="Arial"/>
          <w:color w:val="0070C0"/>
          <w:sz w:val="20"/>
          <w:szCs w:val="20"/>
          <w:lang w:val="it-IT"/>
        </w:rPr>
      </w:pPr>
    </w:p>
    <w:p w14:paraId="66383DA6" w14:textId="77777777" w:rsidR="00516EFF" w:rsidRPr="00516EFF" w:rsidRDefault="00516EFF" w:rsidP="00516EFF">
      <w:pPr>
        <w:pStyle w:val="Heading1"/>
        <w:numPr>
          <w:ilvl w:val="1"/>
          <w:numId w:val="30"/>
        </w:numPr>
        <w:spacing w:line="360" w:lineRule="auto"/>
        <w:jc w:val="both"/>
        <w:rPr>
          <w:rFonts w:ascii="Arial" w:eastAsia="Times New Roman" w:hAnsi="Arial" w:cs="Arial"/>
          <w:color w:val="0070C0"/>
          <w:sz w:val="20"/>
          <w:szCs w:val="20"/>
          <w:lang w:val="it-IT"/>
        </w:rPr>
      </w:pPr>
      <w:r w:rsidRPr="00516EFF">
        <w:rPr>
          <w:rFonts w:ascii="Arial" w:eastAsia="Times New Roman" w:hAnsi="Arial" w:cs="Arial"/>
          <w:color w:val="0070C0"/>
          <w:sz w:val="20"/>
          <w:szCs w:val="20"/>
          <w:lang w:val="it-IT"/>
        </w:rPr>
        <w:t>Riduzione dei tempi di produzione, fornitura ed installazione nel complesso</w:t>
      </w:r>
    </w:p>
    <w:p w14:paraId="2D3E5900" w14:textId="5D09834D" w:rsidR="00516EFF" w:rsidRDefault="00516EFF" w:rsidP="00516EFF">
      <w:pPr>
        <w:pStyle w:val="paragraph"/>
        <w:jc w:val="both"/>
        <w:textAlignment w:val="baseline"/>
        <w:rPr>
          <w:rFonts w:ascii="Arial" w:hAnsi="Arial" w:cs="Arial"/>
          <w:sz w:val="20"/>
          <w:szCs w:val="20"/>
          <w:lang w:val="it-IT" w:eastAsia="it-IT"/>
        </w:rPr>
      </w:pPr>
      <w:r w:rsidRPr="00516EFF">
        <w:rPr>
          <w:rFonts w:ascii="Arial" w:hAnsi="Arial" w:cs="Arial"/>
          <w:sz w:val="20"/>
          <w:szCs w:val="20"/>
          <w:lang w:val="it-IT" w:eastAsia="it-IT"/>
        </w:rPr>
        <w:t>L’Offerente dovrà indicare la riduzione, espressa in giorni, rispetto al termine di esecuzione dell'installazione completa previsto negli elaborati di gara pari a 240 giorni naturali e consecutivi (8 mesi) decorrenti dalla data di sottoscrizione del contratto.</w:t>
      </w:r>
    </w:p>
    <w:p w14:paraId="023508BE" w14:textId="77777777" w:rsidR="00516EFF" w:rsidRDefault="00516EFF" w:rsidP="00516EFF">
      <w:pPr>
        <w:pStyle w:val="paragraph"/>
        <w:jc w:val="both"/>
        <w:textAlignment w:val="baseline"/>
        <w:rPr>
          <w:rFonts w:ascii="Arial" w:hAnsi="Arial" w:cs="Arial"/>
          <w:sz w:val="20"/>
          <w:szCs w:val="20"/>
          <w:lang w:val="it-IT" w:eastAsia="it-IT"/>
        </w:rPr>
      </w:pPr>
    </w:p>
    <w:p w14:paraId="6E4559E6" w14:textId="7FB531B6" w:rsidR="00516EFF" w:rsidRDefault="00516EFF" w:rsidP="00516EFF">
      <w:pPr>
        <w:pStyle w:val="Heading1"/>
        <w:numPr>
          <w:ilvl w:val="0"/>
          <w:numId w:val="30"/>
        </w:numPr>
        <w:spacing w:line="360" w:lineRule="auto"/>
        <w:jc w:val="both"/>
        <w:rPr>
          <w:rFonts w:ascii="Arial" w:eastAsia="Times New Roman" w:hAnsi="Arial" w:cs="Arial"/>
          <w:color w:val="0070C0"/>
          <w:sz w:val="20"/>
          <w:szCs w:val="20"/>
          <w:lang w:val="it-IT"/>
        </w:rPr>
      </w:pPr>
      <w:r w:rsidRPr="00516EFF">
        <w:rPr>
          <w:rFonts w:ascii="Arial" w:eastAsia="Times New Roman" w:hAnsi="Arial" w:cs="Arial"/>
          <w:color w:val="0070C0"/>
          <w:sz w:val="20"/>
          <w:szCs w:val="20"/>
          <w:lang w:val="it-IT"/>
        </w:rPr>
        <w:t>Miglioramento quantitativo degli SLA</w:t>
      </w:r>
    </w:p>
    <w:p w14:paraId="6F7E3BBB" w14:textId="77777777" w:rsidR="00D42377" w:rsidRPr="00516EFF" w:rsidRDefault="00D42377" w:rsidP="00D42377">
      <w:pPr>
        <w:pStyle w:val="Heading1"/>
        <w:spacing w:line="360" w:lineRule="auto"/>
        <w:ind w:left="720" w:firstLine="0"/>
        <w:jc w:val="both"/>
        <w:rPr>
          <w:rFonts w:ascii="Arial" w:eastAsia="Times New Roman" w:hAnsi="Arial" w:cs="Arial"/>
          <w:color w:val="0070C0"/>
          <w:sz w:val="20"/>
          <w:szCs w:val="20"/>
          <w:lang w:val="it-IT"/>
        </w:rPr>
      </w:pPr>
    </w:p>
    <w:p w14:paraId="7E04E2CE" w14:textId="77777777" w:rsidR="00516EFF" w:rsidRPr="00516EFF" w:rsidRDefault="00516EFF" w:rsidP="00516EFF">
      <w:pPr>
        <w:pStyle w:val="Heading1"/>
        <w:numPr>
          <w:ilvl w:val="1"/>
          <w:numId w:val="30"/>
        </w:numPr>
        <w:spacing w:line="360" w:lineRule="auto"/>
        <w:jc w:val="both"/>
        <w:rPr>
          <w:rFonts w:ascii="Arial" w:eastAsia="Times New Roman" w:hAnsi="Arial" w:cs="Arial"/>
          <w:color w:val="0070C0"/>
          <w:sz w:val="20"/>
          <w:szCs w:val="20"/>
          <w:lang w:val="it-IT"/>
        </w:rPr>
      </w:pPr>
      <w:r w:rsidRPr="00516EFF">
        <w:rPr>
          <w:rFonts w:ascii="Arial" w:eastAsia="Times New Roman" w:hAnsi="Arial" w:cs="Arial"/>
          <w:color w:val="0070C0"/>
          <w:sz w:val="20"/>
          <w:szCs w:val="20"/>
          <w:lang w:val="it-IT"/>
        </w:rPr>
        <w:t>Miglioramento SLA AM.2 - Riduzione dei tempi di ripristino on-site nell’ambito del Servizio di Assistenza e Manutenzione per guasto bloccante</w:t>
      </w:r>
    </w:p>
    <w:p w14:paraId="1C7E04A8" w14:textId="77777777" w:rsidR="00516EFF" w:rsidRPr="00516EFF" w:rsidRDefault="00516EFF" w:rsidP="00516EFF">
      <w:pPr>
        <w:pStyle w:val="paragraph"/>
        <w:jc w:val="both"/>
        <w:textAlignment w:val="baseline"/>
        <w:rPr>
          <w:rFonts w:ascii="Arial" w:hAnsi="Arial" w:cs="Arial"/>
          <w:sz w:val="20"/>
          <w:szCs w:val="20"/>
          <w:lang w:val="it-IT" w:eastAsia="it-IT"/>
        </w:rPr>
      </w:pPr>
    </w:p>
    <w:p w14:paraId="29855269" w14:textId="77777777" w:rsidR="00516EFF" w:rsidRPr="00516EFF" w:rsidRDefault="00516EFF" w:rsidP="00516EFF">
      <w:pPr>
        <w:pStyle w:val="paragraph"/>
        <w:jc w:val="both"/>
        <w:textAlignment w:val="baseline"/>
        <w:rPr>
          <w:rFonts w:ascii="Arial" w:hAnsi="Arial" w:cs="Arial"/>
          <w:sz w:val="20"/>
          <w:szCs w:val="20"/>
          <w:lang w:val="it-IT" w:eastAsia="it-IT"/>
        </w:rPr>
      </w:pPr>
      <w:r w:rsidRPr="00516EFF">
        <w:rPr>
          <w:rFonts w:ascii="Arial" w:hAnsi="Arial" w:cs="Arial"/>
          <w:sz w:val="20"/>
          <w:szCs w:val="20"/>
          <w:lang w:val="it-IT" w:eastAsia="it-IT"/>
        </w:rPr>
        <w:t>Indicare il numero di ore solari consecutive, con riferimento allo SLA AM.2 di cui al paragrafo 7.3.2 del Capitolato Tecnico, senza alcuna cifra decimale, e non superiore al valore massimo richiesto di 6 ore solari consecutive per la risoluzione di guasti bloccanti:</w:t>
      </w:r>
    </w:p>
    <w:sectPr w:rsidR="00516EFF" w:rsidRPr="00516EFF" w:rsidSect="0098125B">
      <w:headerReference w:type="default" r:id="rId10"/>
      <w:footerReference w:type="default" r:id="rId11"/>
      <w:pgSz w:w="11906" w:h="16838"/>
      <w:pgMar w:top="180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2081" w14:textId="77777777" w:rsidR="003F1B18" w:rsidRDefault="003F1B18" w:rsidP="005114B3">
      <w:r>
        <w:separator/>
      </w:r>
    </w:p>
  </w:endnote>
  <w:endnote w:type="continuationSeparator" w:id="0">
    <w:p w14:paraId="0191918C" w14:textId="77777777" w:rsidR="003F1B18" w:rsidRDefault="003F1B18" w:rsidP="005114B3">
      <w:r>
        <w:continuationSeparator/>
      </w:r>
    </w:p>
  </w:endnote>
  <w:endnote w:type="continuationNotice" w:id="1">
    <w:p w14:paraId="59117D73" w14:textId="77777777" w:rsidR="003F1B18" w:rsidRDefault="003F1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8C80" w14:textId="77777777" w:rsidR="007441D5" w:rsidRPr="0064286F" w:rsidRDefault="007441D5" w:rsidP="007441D5">
    <w:pPr>
      <w:spacing w:line="240" w:lineRule="exact"/>
      <w:jc w:val="center"/>
      <w:rPr>
        <w:rFonts w:ascii="Arial" w:hAnsi="Arial" w:cs="Arial"/>
        <w:b/>
        <w:color w:val="0070C0"/>
        <w:sz w:val="16"/>
        <w:szCs w:val="16"/>
        <w:lang w:val="it-IT"/>
      </w:rPr>
    </w:pPr>
    <w:r w:rsidRPr="0064286F">
      <w:rPr>
        <w:rFonts w:ascii="Arial" w:hAnsi="Arial" w:cs="Arial"/>
        <w:b/>
        <w:color w:val="0070C0"/>
        <w:sz w:val="16"/>
        <w:szCs w:val="16"/>
        <w:lang w:val="it-IT"/>
      </w:rPr>
      <w:t>Fondazione Human Technopole</w:t>
    </w:r>
  </w:p>
  <w:p w14:paraId="0333E004" w14:textId="60B02F4E" w:rsidR="005114B3" w:rsidRPr="00211D7C" w:rsidRDefault="007441D5" w:rsidP="007441D5">
    <w:pPr>
      <w:spacing w:line="280" w:lineRule="exact"/>
      <w:jc w:val="center"/>
      <w:rPr>
        <w:rFonts w:ascii="Arial" w:hAnsi="Arial" w:cs="Arial"/>
        <w:color w:val="0070C0"/>
        <w:sz w:val="16"/>
        <w:szCs w:val="16"/>
        <w:lang w:val="it-IT"/>
      </w:rPr>
    </w:pPr>
    <w:r w:rsidRPr="00A92923">
      <w:rPr>
        <w:rFonts w:ascii="Arial" w:hAnsi="Arial" w:cs="Arial"/>
        <w:color w:val="0070C0"/>
        <w:sz w:val="16"/>
        <w:szCs w:val="16"/>
        <w:lang w:val="it-IT"/>
      </w:rPr>
      <w:t>Palazzo Italia - Viale Rita Levi-Montalcini, 1 - Area MIND - 20157 Milano, Italia</w:t>
    </w:r>
    <w:r w:rsidRPr="0064286F">
      <w:rPr>
        <w:rFonts w:ascii="Arial" w:hAnsi="Arial" w:cs="Arial"/>
        <w:color w:val="0070C0"/>
        <w:sz w:val="16"/>
        <w:szCs w:val="16"/>
        <w:lang w:val="it-IT"/>
      </w:rPr>
      <w:t xml:space="preserve"> – www.humantechnopole.it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2015" w14:textId="77777777" w:rsidR="003F1B18" w:rsidRDefault="003F1B18" w:rsidP="005114B3">
      <w:r>
        <w:separator/>
      </w:r>
    </w:p>
  </w:footnote>
  <w:footnote w:type="continuationSeparator" w:id="0">
    <w:p w14:paraId="54262DC0" w14:textId="77777777" w:rsidR="003F1B18" w:rsidRDefault="003F1B18" w:rsidP="005114B3">
      <w:r>
        <w:continuationSeparator/>
      </w:r>
    </w:p>
  </w:footnote>
  <w:footnote w:type="continuationNotice" w:id="1">
    <w:p w14:paraId="7DD1AAB6" w14:textId="77777777" w:rsidR="003F1B18" w:rsidRDefault="003F1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EE5C" w14:textId="567DF5D7" w:rsidR="005114B3" w:rsidRDefault="005114B3">
    <w:pPr>
      <w:pStyle w:val="Header"/>
    </w:pPr>
    <w:r>
      <w:rPr>
        <w:noProof/>
      </w:rPr>
      <w:drawing>
        <wp:anchor distT="0" distB="0" distL="114300" distR="114300" simplePos="0" relativeHeight="251658240" behindDoc="1" locked="0" layoutInCell="1" allowOverlap="1" wp14:anchorId="2B035814" wp14:editId="7BC94467">
          <wp:simplePos x="0" y="0"/>
          <wp:positionH relativeFrom="page">
            <wp:posOffset>-6350</wp:posOffset>
          </wp:positionH>
          <wp:positionV relativeFrom="paragraph">
            <wp:posOffset>-652145</wp:posOffset>
          </wp:positionV>
          <wp:extent cx="2202873" cy="1063072"/>
          <wp:effectExtent l="0" t="0" r="6985" b="3810"/>
          <wp:wrapNone/>
          <wp:docPr id="2126444407" name="Picture 212644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873" cy="1063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D3DC52" w14:textId="77777777" w:rsidR="005114B3" w:rsidRDefault="005114B3">
    <w:pPr>
      <w:pStyle w:val="Header"/>
    </w:pPr>
  </w:p>
  <w:p w14:paraId="5DE01047" w14:textId="2C8671F1" w:rsidR="005114B3" w:rsidRDefault="00511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860"/>
    <w:multiLevelType w:val="hybridMultilevel"/>
    <w:tmpl w:val="58B488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0D8894"/>
    <w:multiLevelType w:val="hybridMultilevel"/>
    <w:tmpl w:val="FFFFFFFF"/>
    <w:lvl w:ilvl="0" w:tplc="E6666518">
      <w:start w:val="1"/>
      <w:numFmt w:val="bullet"/>
      <w:lvlText w:val="-"/>
      <w:lvlJc w:val="left"/>
      <w:pPr>
        <w:ind w:left="832" w:hanging="360"/>
      </w:pPr>
      <w:rPr>
        <w:rFonts w:ascii="Garamond" w:hAnsi="Garamond" w:hint="default"/>
      </w:rPr>
    </w:lvl>
    <w:lvl w:ilvl="1" w:tplc="D998520E">
      <w:start w:val="1"/>
      <w:numFmt w:val="bullet"/>
      <w:lvlText w:val="o"/>
      <w:lvlJc w:val="left"/>
      <w:pPr>
        <w:ind w:left="1440" w:hanging="360"/>
      </w:pPr>
      <w:rPr>
        <w:rFonts w:ascii="Courier New" w:hAnsi="Courier New" w:hint="default"/>
      </w:rPr>
    </w:lvl>
    <w:lvl w:ilvl="2" w:tplc="324AA8DE">
      <w:start w:val="1"/>
      <w:numFmt w:val="bullet"/>
      <w:lvlText w:val=""/>
      <w:lvlJc w:val="left"/>
      <w:pPr>
        <w:ind w:left="2160" w:hanging="360"/>
      </w:pPr>
      <w:rPr>
        <w:rFonts w:ascii="Wingdings" w:hAnsi="Wingdings" w:hint="default"/>
      </w:rPr>
    </w:lvl>
    <w:lvl w:ilvl="3" w:tplc="EBAAA06E">
      <w:start w:val="1"/>
      <w:numFmt w:val="bullet"/>
      <w:lvlText w:val=""/>
      <w:lvlJc w:val="left"/>
      <w:pPr>
        <w:ind w:left="2880" w:hanging="360"/>
      </w:pPr>
      <w:rPr>
        <w:rFonts w:ascii="Symbol" w:hAnsi="Symbol" w:hint="default"/>
      </w:rPr>
    </w:lvl>
    <w:lvl w:ilvl="4" w:tplc="2DE402EA">
      <w:start w:val="1"/>
      <w:numFmt w:val="bullet"/>
      <w:lvlText w:val="o"/>
      <w:lvlJc w:val="left"/>
      <w:pPr>
        <w:ind w:left="3600" w:hanging="360"/>
      </w:pPr>
      <w:rPr>
        <w:rFonts w:ascii="Courier New" w:hAnsi="Courier New" w:hint="default"/>
      </w:rPr>
    </w:lvl>
    <w:lvl w:ilvl="5" w:tplc="30D4B164">
      <w:start w:val="1"/>
      <w:numFmt w:val="bullet"/>
      <w:lvlText w:val=""/>
      <w:lvlJc w:val="left"/>
      <w:pPr>
        <w:ind w:left="4320" w:hanging="360"/>
      </w:pPr>
      <w:rPr>
        <w:rFonts w:ascii="Wingdings" w:hAnsi="Wingdings" w:hint="default"/>
      </w:rPr>
    </w:lvl>
    <w:lvl w:ilvl="6" w:tplc="EB06DDD0">
      <w:start w:val="1"/>
      <w:numFmt w:val="bullet"/>
      <w:lvlText w:val=""/>
      <w:lvlJc w:val="left"/>
      <w:pPr>
        <w:ind w:left="5040" w:hanging="360"/>
      </w:pPr>
      <w:rPr>
        <w:rFonts w:ascii="Symbol" w:hAnsi="Symbol" w:hint="default"/>
      </w:rPr>
    </w:lvl>
    <w:lvl w:ilvl="7" w:tplc="34DC5548">
      <w:start w:val="1"/>
      <w:numFmt w:val="bullet"/>
      <w:lvlText w:val="o"/>
      <w:lvlJc w:val="left"/>
      <w:pPr>
        <w:ind w:left="5760" w:hanging="360"/>
      </w:pPr>
      <w:rPr>
        <w:rFonts w:ascii="Courier New" w:hAnsi="Courier New" w:hint="default"/>
      </w:rPr>
    </w:lvl>
    <w:lvl w:ilvl="8" w:tplc="053C3B5A">
      <w:start w:val="1"/>
      <w:numFmt w:val="bullet"/>
      <w:lvlText w:val=""/>
      <w:lvlJc w:val="left"/>
      <w:pPr>
        <w:ind w:left="6480" w:hanging="360"/>
      </w:pPr>
      <w:rPr>
        <w:rFonts w:ascii="Wingdings" w:hAnsi="Wingdings" w:hint="default"/>
      </w:rPr>
    </w:lvl>
  </w:abstractNum>
  <w:abstractNum w:abstractNumId="2" w15:restartNumberingAfterBreak="0">
    <w:nsid w:val="0D866E95"/>
    <w:multiLevelType w:val="multilevel"/>
    <w:tmpl w:val="A878AB86"/>
    <w:lvl w:ilvl="0">
      <w:start w:val="1"/>
      <w:numFmt w:val="decimal"/>
      <w:lvlText w:val="%1."/>
      <w:lvlJc w:val="left"/>
      <w:pPr>
        <w:ind w:left="360" w:hanging="360"/>
      </w:pPr>
      <w:rPr>
        <w:rFonts w:eastAsia="Times New Roman" w:hint="default"/>
        <w:b/>
        <w:bCs/>
        <w:i w:val="0"/>
        <w:color w:val="0070C0"/>
      </w:rPr>
    </w:lvl>
    <w:lvl w:ilvl="1">
      <w:start w:val="2"/>
      <w:numFmt w:val="decimal"/>
      <w:lvlText w:val="%1.%2."/>
      <w:lvlJc w:val="left"/>
      <w:pPr>
        <w:ind w:left="472" w:hanging="360"/>
      </w:pPr>
      <w:rPr>
        <w:rFonts w:eastAsia="Times New Roman" w:hint="default"/>
        <w:b/>
        <w:bCs/>
        <w:i w:val="0"/>
        <w:color w:val="0070C0"/>
        <w:sz w:val="20"/>
        <w:szCs w:val="20"/>
      </w:rPr>
    </w:lvl>
    <w:lvl w:ilvl="2">
      <w:start w:val="1"/>
      <w:numFmt w:val="decimal"/>
      <w:lvlText w:val="%1.%2.%3."/>
      <w:lvlJc w:val="left"/>
      <w:pPr>
        <w:ind w:left="944" w:hanging="720"/>
      </w:pPr>
      <w:rPr>
        <w:rFonts w:eastAsia="Times New Roman" w:hint="default"/>
        <w:i w:val="0"/>
        <w:color w:val="0070C0"/>
      </w:rPr>
    </w:lvl>
    <w:lvl w:ilvl="3">
      <w:start w:val="1"/>
      <w:numFmt w:val="decimal"/>
      <w:lvlText w:val="%1.%2.%3.%4."/>
      <w:lvlJc w:val="left"/>
      <w:pPr>
        <w:ind w:left="1056" w:hanging="720"/>
      </w:pPr>
      <w:rPr>
        <w:rFonts w:eastAsia="Times New Roman" w:hint="default"/>
        <w:i w:val="0"/>
        <w:color w:val="0070C0"/>
      </w:rPr>
    </w:lvl>
    <w:lvl w:ilvl="4">
      <w:start w:val="1"/>
      <w:numFmt w:val="decimal"/>
      <w:lvlText w:val="%1.%2.%3.%4.%5."/>
      <w:lvlJc w:val="left"/>
      <w:pPr>
        <w:ind w:left="1528" w:hanging="1080"/>
      </w:pPr>
      <w:rPr>
        <w:rFonts w:eastAsia="Times New Roman" w:hint="default"/>
        <w:i w:val="0"/>
        <w:color w:val="0070C0"/>
      </w:rPr>
    </w:lvl>
    <w:lvl w:ilvl="5">
      <w:start w:val="1"/>
      <w:numFmt w:val="decimal"/>
      <w:lvlText w:val="%1.%2.%3.%4.%5.%6."/>
      <w:lvlJc w:val="left"/>
      <w:pPr>
        <w:ind w:left="1640" w:hanging="1080"/>
      </w:pPr>
      <w:rPr>
        <w:rFonts w:eastAsia="Times New Roman" w:hint="default"/>
        <w:i w:val="0"/>
        <w:color w:val="0070C0"/>
      </w:rPr>
    </w:lvl>
    <w:lvl w:ilvl="6">
      <w:start w:val="1"/>
      <w:numFmt w:val="decimal"/>
      <w:lvlText w:val="%1.%2.%3.%4.%5.%6.%7."/>
      <w:lvlJc w:val="left"/>
      <w:pPr>
        <w:ind w:left="2112" w:hanging="1440"/>
      </w:pPr>
      <w:rPr>
        <w:rFonts w:eastAsia="Times New Roman" w:hint="default"/>
        <w:i w:val="0"/>
        <w:color w:val="0070C0"/>
      </w:rPr>
    </w:lvl>
    <w:lvl w:ilvl="7">
      <w:start w:val="1"/>
      <w:numFmt w:val="decimal"/>
      <w:lvlText w:val="%1.%2.%3.%4.%5.%6.%7.%8."/>
      <w:lvlJc w:val="left"/>
      <w:pPr>
        <w:ind w:left="2224" w:hanging="1440"/>
      </w:pPr>
      <w:rPr>
        <w:rFonts w:eastAsia="Times New Roman" w:hint="default"/>
        <w:i w:val="0"/>
        <w:color w:val="0070C0"/>
      </w:rPr>
    </w:lvl>
    <w:lvl w:ilvl="8">
      <w:start w:val="1"/>
      <w:numFmt w:val="decimal"/>
      <w:lvlText w:val="%1.%2.%3.%4.%5.%6.%7.%8.%9."/>
      <w:lvlJc w:val="left"/>
      <w:pPr>
        <w:ind w:left="2696" w:hanging="1800"/>
      </w:pPr>
      <w:rPr>
        <w:rFonts w:eastAsia="Times New Roman" w:hint="default"/>
        <w:i w:val="0"/>
        <w:color w:val="0070C0"/>
      </w:rPr>
    </w:lvl>
  </w:abstractNum>
  <w:abstractNum w:abstractNumId="3" w15:restartNumberingAfterBreak="0">
    <w:nsid w:val="0FBA7AC0"/>
    <w:multiLevelType w:val="multilevel"/>
    <w:tmpl w:val="D25E1A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343125D"/>
    <w:multiLevelType w:val="multilevel"/>
    <w:tmpl w:val="6EAC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2C33C8"/>
    <w:multiLevelType w:val="hybridMultilevel"/>
    <w:tmpl w:val="2E7C9A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F650D58"/>
    <w:multiLevelType w:val="hybridMultilevel"/>
    <w:tmpl w:val="CF7EA518"/>
    <w:lvl w:ilvl="0" w:tplc="6E68240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641CF7"/>
    <w:multiLevelType w:val="hybridMultilevel"/>
    <w:tmpl w:val="C9B83A04"/>
    <w:lvl w:ilvl="0" w:tplc="0409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B804E9"/>
    <w:multiLevelType w:val="hybridMultilevel"/>
    <w:tmpl w:val="39061B6C"/>
    <w:lvl w:ilvl="0" w:tplc="84B0C384">
      <w:start w:val="12"/>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E3232C"/>
    <w:multiLevelType w:val="multilevel"/>
    <w:tmpl w:val="24A8A6CC"/>
    <w:lvl w:ilvl="0">
      <w:start w:val="1"/>
      <w:numFmt w:val="decimal"/>
      <w:lvlText w:val="%1."/>
      <w:lvlJc w:val="left"/>
      <w:pPr>
        <w:ind w:left="720" w:hanging="360"/>
      </w:pPr>
      <w:rPr>
        <w:rFonts w:hint="default"/>
        <w:b/>
        <w:bCs/>
        <w:i w:val="0"/>
        <w:iCs w:val="0"/>
        <w:color w:val="4472C4" w:themeColor="accent1"/>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61C3E93"/>
    <w:multiLevelType w:val="hybridMultilevel"/>
    <w:tmpl w:val="8536F920"/>
    <w:lvl w:ilvl="0" w:tplc="6E68240A">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20AD5C"/>
    <w:multiLevelType w:val="hybridMultilevel"/>
    <w:tmpl w:val="FFFFFFFF"/>
    <w:lvl w:ilvl="0" w:tplc="B47C6C8E">
      <w:start w:val="1"/>
      <w:numFmt w:val="bullet"/>
      <w:lvlText w:val="-"/>
      <w:lvlJc w:val="left"/>
      <w:pPr>
        <w:ind w:left="832" w:hanging="360"/>
      </w:pPr>
      <w:rPr>
        <w:rFonts w:ascii="Garamond" w:hAnsi="Garamond" w:hint="default"/>
      </w:rPr>
    </w:lvl>
    <w:lvl w:ilvl="1" w:tplc="08EE0C3A">
      <w:start w:val="1"/>
      <w:numFmt w:val="bullet"/>
      <w:lvlText w:val="o"/>
      <w:lvlJc w:val="left"/>
      <w:pPr>
        <w:ind w:left="1440" w:hanging="360"/>
      </w:pPr>
      <w:rPr>
        <w:rFonts w:ascii="Courier New" w:hAnsi="Courier New" w:hint="default"/>
      </w:rPr>
    </w:lvl>
    <w:lvl w:ilvl="2" w:tplc="82162D68">
      <w:start w:val="1"/>
      <w:numFmt w:val="bullet"/>
      <w:lvlText w:val=""/>
      <w:lvlJc w:val="left"/>
      <w:pPr>
        <w:ind w:left="2160" w:hanging="360"/>
      </w:pPr>
      <w:rPr>
        <w:rFonts w:ascii="Wingdings" w:hAnsi="Wingdings" w:hint="default"/>
      </w:rPr>
    </w:lvl>
    <w:lvl w:ilvl="3" w:tplc="67E423B8">
      <w:start w:val="1"/>
      <w:numFmt w:val="bullet"/>
      <w:lvlText w:val=""/>
      <w:lvlJc w:val="left"/>
      <w:pPr>
        <w:ind w:left="2880" w:hanging="360"/>
      </w:pPr>
      <w:rPr>
        <w:rFonts w:ascii="Symbol" w:hAnsi="Symbol" w:hint="default"/>
      </w:rPr>
    </w:lvl>
    <w:lvl w:ilvl="4" w:tplc="BB7CFE5A">
      <w:start w:val="1"/>
      <w:numFmt w:val="bullet"/>
      <w:lvlText w:val="o"/>
      <w:lvlJc w:val="left"/>
      <w:pPr>
        <w:ind w:left="3600" w:hanging="360"/>
      </w:pPr>
      <w:rPr>
        <w:rFonts w:ascii="Courier New" w:hAnsi="Courier New" w:hint="default"/>
      </w:rPr>
    </w:lvl>
    <w:lvl w:ilvl="5" w:tplc="46EACB76">
      <w:start w:val="1"/>
      <w:numFmt w:val="bullet"/>
      <w:lvlText w:val=""/>
      <w:lvlJc w:val="left"/>
      <w:pPr>
        <w:ind w:left="4320" w:hanging="360"/>
      </w:pPr>
      <w:rPr>
        <w:rFonts w:ascii="Wingdings" w:hAnsi="Wingdings" w:hint="default"/>
      </w:rPr>
    </w:lvl>
    <w:lvl w:ilvl="6" w:tplc="0E145720">
      <w:start w:val="1"/>
      <w:numFmt w:val="bullet"/>
      <w:lvlText w:val=""/>
      <w:lvlJc w:val="left"/>
      <w:pPr>
        <w:ind w:left="5040" w:hanging="360"/>
      </w:pPr>
      <w:rPr>
        <w:rFonts w:ascii="Symbol" w:hAnsi="Symbol" w:hint="default"/>
      </w:rPr>
    </w:lvl>
    <w:lvl w:ilvl="7" w:tplc="C376FE98">
      <w:start w:val="1"/>
      <w:numFmt w:val="bullet"/>
      <w:lvlText w:val="o"/>
      <w:lvlJc w:val="left"/>
      <w:pPr>
        <w:ind w:left="5760" w:hanging="360"/>
      </w:pPr>
      <w:rPr>
        <w:rFonts w:ascii="Courier New" w:hAnsi="Courier New" w:hint="default"/>
      </w:rPr>
    </w:lvl>
    <w:lvl w:ilvl="8" w:tplc="905CA346">
      <w:start w:val="1"/>
      <w:numFmt w:val="bullet"/>
      <w:lvlText w:val=""/>
      <w:lvlJc w:val="left"/>
      <w:pPr>
        <w:ind w:left="6480" w:hanging="360"/>
      </w:pPr>
      <w:rPr>
        <w:rFonts w:ascii="Wingdings" w:hAnsi="Wingdings" w:hint="default"/>
      </w:rPr>
    </w:lvl>
  </w:abstractNum>
  <w:abstractNum w:abstractNumId="12" w15:restartNumberingAfterBreak="0">
    <w:nsid w:val="2D28220C"/>
    <w:multiLevelType w:val="hybridMultilevel"/>
    <w:tmpl w:val="D6089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024200"/>
    <w:multiLevelType w:val="hybridMultilevel"/>
    <w:tmpl w:val="2474B924"/>
    <w:lvl w:ilvl="0" w:tplc="209078B4">
      <w:start w:val="1"/>
      <w:numFmt w:val="bullet"/>
      <w:lvlText w:val=""/>
      <w:lvlJc w:val="left"/>
      <w:pPr>
        <w:ind w:left="720" w:hanging="360"/>
      </w:pPr>
      <w:rPr>
        <w:rFonts w:ascii="Symbol" w:hAnsi="Symbol" w:hint="default"/>
      </w:rPr>
    </w:lvl>
    <w:lvl w:ilvl="1" w:tplc="1FC2B460">
      <w:start w:val="1"/>
      <w:numFmt w:val="bullet"/>
      <w:lvlText w:val="o"/>
      <w:lvlJc w:val="left"/>
      <w:pPr>
        <w:ind w:left="1440" w:hanging="360"/>
      </w:pPr>
      <w:rPr>
        <w:rFonts w:ascii="Courier New" w:hAnsi="Courier New" w:hint="default"/>
      </w:rPr>
    </w:lvl>
    <w:lvl w:ilvl="2" w:tplc="386E3A3A">
      <w:start w:val="1"/>
      <w:numFmt w:val="bullet"/>
      <w:lvlText w:val=""/>
      <w:lvlJc w:val="left"/>
      <w:pPr>
        <w:ind w:left="2160" w:hanging="360"/>
      </w:pPr>
      <w:rPr>
        <w:rFonts w:ascii="Wingdings" w:hAnsi="Wingdings" w:hint="default"/>
      </w:rPr>
    </w:lvl>
    <w:lvl w:ilvl="3" w:tplc="38D81FEC">
      <w:start w:val="1"/>
      <w:numFmt w:val="bullet"/>
      <w:lvlText w:val=""/>
      <w:lvlJc w:val="left"/>
      <w:pPr>
        <w:ind w:left="2880" w:hanging="360"/>
      </w:pPr>
      <w:rPr>
        <w:rFonts w:ascii="Symbol" w:hAnsi="Symbol" w:hint="default"/>
      </w:rPr>
    </w:lvl>
    <w:lvl w:ilvl="4" w:tplc="FAF2D8A6">
      <w:start w:val="1"/>
      <w:numFmt w:val="bullet"/>
      <w:lvlText w:val="o"/>
      <w:lvlJc w:val="left"/>
      <w:pPr>
        <w:ind w:left="3600" w:hanging="360"/>
      </w:pPr>
      <w:rPr>
        <w:rFonts w:ascii="Courier New" w:hAnsi="Courier New" w:hint="default"/>
      </w:rPr>
    </w:lvl>
    <w:lvl w:ilvl="5" w:tplc="03505130">
      <w:start w:val="1"/>
      <w:numFmt w:val="bullet"/>
      <w:lvlText w:val=""/>
      <w:lvlJc w:val="left"/>
      <w:pPr>
        <w:ind w:left="4320" w:hanging="360"/>
      </w:pPr>
      <w:rPr>
        <w:rFonts w:ascii="Wingdings" w:hAnsi="Wingdings" w:hint="default"/>
      </w:rPr>
    </w:lvl>
    <w:lvl w:ilvl="6" w:tplc="1A72C6C0">
      <w:start w:val="1"/>
      <w:numFmt w:val="bullet"/>
      <w:lvlText w:val=""/>
      <w:lvlJc w:val="left"/>
      <w:pPr>
        <w:ind w:left="5040" w:hanging="360"/>
      </w:pPr>
      <w:rPr>
        <w:rFonts w:ascii="Symbol" w:hAnsi="Symbol" w:hint="default"/>
      </w:rPr>
    </w:lvl>
    <w:lvl w:ilvl="7" w:tplc="660C3734">
      <w:start w:val="1"/>
      <w:numFmt w:val="bullet"/>
      <w:lvlText w:val="o"/>
      <w:lvlJc w:val="left"/>
      <w:pPr>
        <w:ind w:left="5760" w:hanging="360"/>
      </w:pPr>
      <w:rPr>
        <w:rFonts w:ascii="Courier New" w:hAnsi="Courier New" w:hint="default"/>
      </w:rPr>
    </w:lvl>
    <w:lvl w:ilvl="8" w:tplc="37EA7634">
      <w:start w:val="1"/>
      <w:numFmt w:val="bullet"/>
      <w:lvlText w:val=""/>
      <w:lvlJc w:val="left"/>
      <w:pPr>
        <w:ind w:left="6480" w:hanging="360"/>
      </w:pPr>
      <w:rPr>
        <w:rFonts w:ascii="Wingdings" w:hAnsi="Wingdings" w:hint="default"/>
      </w:rPr>
    </w:lvl>
  </w:abstractNum>
  <w:abstractNum w:abstractNumId="14" w15:restartNumberingAfterBreak="0">
    <w:nsid w:val="3211775C"/>
    <w:multiLevelType w:val="hybridMultilevel"/>
    <w:tmpl w:val="87F8BC0A"/>
    <w:lvl w:ilvl="0" w:tplc="E542D1A8">
      <w:start w:val="1"/>
      <w:numFmt w:val="bullet"/>
      <w:lvlText w:val=""/>
      <w:lvlJc w:val="left"/>
      <w:pPr>
        <w:ind w:left="720" w:hanging="360"/>
      </w:pPr>
      <w:rPr>
        <w:rFonts w:ascii="Symbol" w:hAnsi="Symbol" w:hint="default"/>
        <w:b w:val="0"/>
        <w:i/>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36565A"/>
    <w:multiLevelType w:val="hybridMultilevel"/>
    <w:tmpl w:val="FFFFFFFF"/>
    <w:lvl w:ilvl="0" w:tplc="6B3EAAB4">
      <w:start w:val="1"/>
      <w:numFmt w:val="bullet"/>
      <w:lvlText w:val=""/>
      <w:lvlJc w:val="left"/>
      <w:pPr>
        <w:ind w:left="720" w:hanging="360"/>
      </w:pPr>
      <w:rPr>
        <w:rFonts w:ascii="Symbol" w:hAnsi="Symbol" w:hint="default"/>
      </w:rPr>
    </w:lvl>
    <w:lvl w:ilvl="1" w:tplc="2E9443F6">
      <w:start w:val="1"/>
      <w:numFmt w:val="bullet"/>
      <w:lvlText w:val="o"/>
      <w:lvlJc w:val="left"/>
      <w:pPr>
        <w:ind w:left="1440" w:hanging="360"/>
      </w:pPr>
      <w:rPr>
        <w:rFonts w:ascii="Courier New" w:hAnsi="Courier New" w:hint="default"/>
      </w:rPr>
    </w:lvl>
    <w:lvl w:ilvl="2" w:tplc="85F80DBE">
      <w:start w:val="1"/>
      <w:numFmt w:val="bullet"/>
      <w:lvlText w:val=""/>
      <w:lvlJc w:val="left"/>
      <w:pPr>
        <w:ind w:left="2160" w:hanging="360"/>
      </w:pPr>
      <w:rPr>
        <w:rFonts w:ascii="Wingdings" w:hAnsi="Wingdings" w:hint="default"/>
      </w:rPr>
    </w:lvl>
    <w:lvl w:ilvl="3" w:tplc="B6F0B0E2">
      <w:start w:val="1"/>
      <w:numFmt w:val="bullet"/>
      <w:lvlText w:val=""/>
      <w:lvlJc w:val="left"/>
      <w:pPr>
        <w:ind w:left="2880" w:hanging="360"/>
      </w:pPr>
      <w:rPr>
        <w:rFonts w:ascii="Symbol" w:hAnsi="Symbol" w:hint="default"/>
      </w:rPr>
    </w:lvl>
    <w:lvl w:ilvl="4" w:tplc="63122D2C">
      <w:start w:val="1"/>
      <w:numFmt w:val="bullet"/>
      <w:lvlText w:val="o"/>
      <w:lvlJc w:val="left"/>
      <w:pPr>
        <w:ind w:left="3600" w:hanging="360"/>
      </w:pPr>
      <w:rPr>
        <w:rFonts w:ascii="Courier New" w:hAnsi="Courier New" w:hint="default"/>
      </w:rPr>
    </w:lvl>
    <w:lvl w:ilvl="5" w:tplc="55B209B6">
      <w:start w:val="1"/>
      <w:numFmt w:val="bullet"/>
      <w:lvlText w:val=""/>
      <w:lvlJc w:val="left"/>
      <w:pPr>
        <w:ind w:left="4320" w:hanging="360"/>
      </w:pPr>
      <w:rPr>
        <w:rFonts w:ascii="Wingdings" w:hAnsi="Wingdings" w:hint="default"/>
      </w:rPr>
    </w:lvl>
    <w:lvl w:ilvl="6" w:tplc="0E08C5E0">
      <w:start w:val="1"/>
      <w:numFmt w:val="bullet"/>
      <w:lvlText w:val=""/>
      <w:lvlJc w:val="left"/>
      <w:pPr>
        <w:ind w:left="5040" w:hanging="360"/>
      </w:pPr>
      <w:rPr>
        <w:rFonts w:ascii="Symbol" w:hAnsi="Symbol" w:hint="default"/>
      </w:rPr>
    </w:lvl>
    <w:lvl w:ilvl="7" w:tplc="A7B2D6D0">
      <w:start w:val="1"/>
      <w:numFmt w:val="bullet"/>
      <w:lvlText w:val="o"/>
      <w:lvlJc w:val="left"/>
      <w:pPr>
        <w:ind w:left="5760" w:hanging="360"/>
      </w:pPr>
      <w:rPr>
        <w:rFonts w:ascii="Courier New" w:hAnsi="Courier New" w:hint="default"/>
      </w:rPr>
    </w:lvl>
    <w:lvl w:ilvl="8" w:tplc="76202B6A">
      <w:start w:val="1"/>
      <w:numFmt w:val="bullet"/>
      <w:lvlText w:val=""/>
      <w:lvlJc w:val="left"/>
      <w:pPr>
        <w:ind w:left="6480" w:hanging="360"/>
      </w:pPr>
      <w:rPr>
        <w:rFonts w:ascii="Wingdings" w:hAnsi="Wingdings" w:hint="default"/>
      </w:rPr>
    </w:lvl>
  </w:abstractNum>
  <w:abstractNum w:abstractNumId="16" w15:restartNumberingAfterBreak="0">
    <w:nsid w:val="33DB0EAE"/>
    <w:multiLevelType w:val="multilevel"/>
    <w:tmpl w:val="96C2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A42D68"/>
    <w:multiLevelType w:val="hybridMultilevel"/>
    <w:tmpl w:val="3BAA7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8DF52A0"/>
    <w:multiLevelType w:val="hybridMultilevel"/>
    <w:tmpl w:val="2B0CD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E11177"/>
    <w:multiLevelType w:val="multilevel"/>
    <w:tmpl w:val="50FA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FF65A4"/>
    <w:multiLevelType w:val="multilevel"/>
    <w:tmpl w:val="1508273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EC48A3"/>
    <w:multiLevelType w:val="hybridMultilevel"/>
    <w:tmpl w:val="545E20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D64E44"/>
    <w:multiLevelType w:val="multilevel"/>
    <w:tmpl w:val="B53C3A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EB46ED7"/>
    <w:multiLevelType w:val="multilevel"/>
    <w:tmpl w:val="FE0A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202E3"/>
    <w:multiLevelType w:val="hybridMultilevel"/>
    <w:tmpl w:val="3C8077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F7D1C35"/>
    <w:multiLevelType w:val="hybridMultilevel"/>
    <w:tmpl w:val="071634F4"/>
    <w:lvl w:ilvl="0" w:tplc="0809000F">
      <w:start w:val="1"/>
      <w:numFmt w:val="decimal"/>
      <w:lvlText w:val="%1."/>
      <w:lvlJc w:val="left"/>
      <w:pPr>
        <w:ind w:left="720" w:hanging="360"/>
      </w:pPr>
      <w:rPr>
        <w:rFonts w:hint="default"/>
      </w:rPr>
    </w:lvl>
    <w:lvl w:ilvl="1" w:tplc="BC549A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21084C"/>
    <w:multiLevelType w:val="multilevel"/>
    <w:tmpl w:val="E0AEFA2C"/>
    <w:lvl w:ilvl="0">
      <w:start w:val="1"/>
      <w:numFmt w:val="decimal"/>
      <w:lvlText w:val="%1."/>
      <w:lvlJc w:val="left"/>
      <w:pPr>
        <w:ind w:left="720" w:hanging="360"/>
      </w:pPr>
      <w:rPr>
        <w:rFonts w:eastAsia="Times New Roman" w:hint="default"/>
        <w:color w:val="0070C0"/>
      </w:rPr>
    </w:lvl>
    <w:lvl w:ilvl="1">
      <w:start w:val="1"/>
      <w:numFmt w:val="decimal"/>
      <w:isLgl/>
      <w:lvlText w:val="%1.%2."/>
      <w:lvlJc w:val="left"/>
      <w:pPr>
        <w:ind w:left="720" w:hanging="360"/>
      </w:pPr>
      <w:rPr>
        <w:rFonts w:eastAsia="Times New Roman" w:hint="default"/>
        <w:color w:val="0070C0"/>
      </w:rPr>
    </w:lvl>
    <w:lvl w:ilvl="2">
      <w:start w:val="1"/>
      <w:numFmt w:val="decimal"/>
      <w:isLgl/>
      <w:lvlText w:val="%1.%2.%3."/>
      <w:lvlJc w:val="left"/>
      <w:pPr>
        <w:ind w:left="1080" w:hanging="720"/>
      </w:pPr>
      <w:rPr>
        <w:rFonts w:eastAsia="Times New Roman" w:hint="default"/>
        <w:color w:val="0070C0"/>
      </w:rPr>
    </w:lvl>
    <w:lvl w:ilvl="3">
      <w:start w:val="1"/>
      <w:numFmt w:val="decimal"/>
      <w:isLgl/>
      <w:lvlText w:val="%1.%2.%3.%4."/>
      <w:lvlJc w:val="left"/>
      <w:pPr>
        <w:ind w:left="1080" w:hanging="720"/>
      </w:pPr>
      <w:rPr>
        <w:rFonts w:eastAsia="Times New Roman" w:hint="default"/>
        <w:color w:val="0070C0"/>
      </w:rPr>
    </w:lvl>
    <w:lvl w:ilvl="4">
      <w:start w:val="1"/>
      <w:numFmt w:val="decimal"/>
      <w:isLgl/>
      <w:lvlText w:val="%1.%2.%3.%4.%5."/>
      <w:lvlJc w:val="left"/>
      <w:pPr>
        <w:ind w:left="1440" w:hanging="1080"/>
      </w:pPr>
      <w:rPr>
        <w:rFonts w:eastAsia="Times New Roman" w:hint="default"/>
        <w:color w:val="0070C0"/>
      </w:rPr>
    </w:lvl>
    <w:lvl w:ilvl="5">
      <w:start w:val="1"/>
      <w:numFmt w:val="decimal"/>
      <w:isLgl/>
      <w:lvlText w:val="%1.%2.%3.%4.%5.%6."/>
      <w:lvlJc w:val="left"/>
      <w:pPr>
        <w:ind w:left="1440" w:hanging="1080"/>
      </w:pPr>
      <w:rPr>
        <w:rFonts w:eastAsia="Times New Roman" w:hint="default"/>
        <w:color w:val="0070C0"/>
      </w:rPr>
    </w:lvl>
    <w:lvl w:ilvl="6">
      <w:start w:val="1"/>
      <w:numFmt w:val="decimal"/>
      <w:isLgl/>
      <w:lvlText w:val="%1.%2.%3.%4.%5.%6.%7."/>
      <w:lvlJc w:val="left"/>
      <w:pPr>
        <w:ind w:left="1800" w:hanging="1440"/>
      </w:pPr>
      <w:rPr>
        <w:rFonts w:eastAsia="Times New Roman" w:hint="default"/>
        <w:color w:val="0070C0"/>
      </w:rPr>
    </w:lvl>
    <w:lvl w:ilvl="7">
      <w:start w:val="1"/>
      <w:numFmt w:val="decimal"/>
      <w:isLgl/>
      <w:lvlText w:val="%1.%2.%3.%4.%5.%6.%7.%8."/>
      <w:lvlJc w:val="left"/>
      <w:pPr>
        <w:ind w:left="1800" w:hanging="1440"/>
      </w:pPr>
      <w:rPr>
        <w:rFonts w:eastAsia="Times New Roman" w:hint="default"/>
        <w:color w:val="0070C0"/>
      </w:rPr>
    </w:lvl>
    <w:lvl w:ilvl="8">
      <w:start w:val="1"/>
      <w:numFmt w:val="decimal"/>
      <w:isLgl/>
      <w:lvlText w:val="%1.%2.%3.%4.%5.%6.%7.%8.%9."/>
      <w:lvlJc w:val="left"/>
      <w:pPr>
        <w:ind w:left="2160" w:hanging="1800"/>
      </w:pPr>
      <w:rPr>
        <w:rFonts w:eastAsia="Times New Roman" w:hint="default"/>
        <w:color w:val="0070C0"/>
      </w:rPr>
    </w:lvl>
  </w:abstractNum>
  <w:abstractNum w:abstractNumId="27" w15:restartNumberingAfterBreak="0">
    <w:nsid w:val="72D05E41"/>
    <w:multiLevelType w:val="multilevel"/>
    <w:tmpl w:val="7D384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66903E"/>
    <w:multiLevelType w:val="hybridMultilevel"/>
    <w:tmpl w:val="DCA2BF34"/>
    <w:lvl w:ilvl="0" w:tplc="B37AE25A">
      <w:start w:val="1"/>
      <w:numFmt w:val="bullet"/>
      <w:lvlText w:val="-"/>
      <w:lvlJc w:val="left"/>
      <w:pPr>
        <w:ind w:left="720" w:hanging="360"/>
      </w:pPr>
      <w:rPr>
        <w:rFonts w:ascii="Symbol" w:hAnsi="Symbol" w:hint="default"/>
      </w:rPr>
    </w:lvl>
    <w:lvl w:ilvl="1" w:tplc="52BC79EC">
      <w:start w:val="1"/>
      <w:numFmt w:val="bullet"/>
      <w:lvlText w:val="o"/>
      <w:lvlJc w:val="left"/>
      <w:pPr>
        <w:ind w:left="1440" w:hanging="360"/>
      </w:pPr>
      <w:rPr>
        <w:rFonts w:ascii="Courier New" w:hAnsi="Courier New" w:hint="default"/>
      </w:rPr>
    </w:lvl>
    <w:lvl w:ilvl="2" w:tplc="BB1EFE88">
      <w:start w:val="1"/>
      <w:numFmt w:val="bullet"/>
      <w:lvlText w:val=""/>
      <w:lvlJc w:val="left"/>
      <w:pPr>
        <w:ind w:left="2160" w:hanging="360"/>
      </w:pPr>
      <w:rPr>
        <w:rFonts w:ascii="Wingdings" w:hAnsi="Wingdings" w:hint="default"/>
      </w:rPr>
    </w:lvl>
    <w:lvl w:ilvl="3" w:tplc="4C640AA2">
      <w:start w:val="1"/>
      <w:numFmt w:val="bullet"/>
      <w:lvlText w:val=""/>
      <w:lvlJc w:val="left"/>
      <w:pPr>
        <w:ind w:left="2880" w:hanging="360"/>
      </w:pPr>
      <w:rPr>
        <w:rFonts w:ascii="Symbol" w:hAnsi="Symbol" w:hint="default"/>
      </w:rPr>
    </w:lvl>
    <w:lvl w:ilvl="4" w:tplc="3878B180">
      <w:start w:val="1"/>
      <w:numFmt w:val="bullet"/>
      <w:lvlText w:val="o"/>
      <w:lvlJc w:val="left"/>
      <w:pPr>
        <w:ind w:left="3600" w:hanging="360"/>
      </w:pPr>
      <w:rPr>
        <w:rFonts w:ascii="Courier New" w:hAnsi="Courier New" w:hint="default"/>
      </w:rPr>
    </w:lvl>
    <w:lvl w:ilvl="5" w:tplc="10DC1308">
      <w:start w:val="1"/>
      <w:numFmt w:val="bullet"/>
      <w:lvlText w:val=""/>
      <w:lvlJc w:val="left"/>
      <w:pPr>
        <w:ind w:left="4320" w:hanging="360"/>
      </w:pPr>
      <w:rPr>
        <w:rFonts w:ascii="Wingdings" w:hAnsi="Wingdings" w:hint="default"/>
      </w:rPr>
    </w:lvl>
    <w:lvl w:ilvl="6" w:tplc="72DCEE82">
      <w:start w:val="1"/>
      <w:numFmt w:val="bullet"/>
      <w:lvlText w:val=""/>
      <w:lvlJc w:val="left"/>
      <w:pPr>
        <w:ind w:left="5040" w:hanging="360"/>
      </w:pPr>
      <w:rPr>
        <w:rFonts w:ascii="Symbol" w:hAnsi="Symbol" w:hint="default"/>
      </w:rPr>
    </w:lvl>
    <w:lvl w:ilvl="7" w:tplc="7DCC8964">
      <w:start w:val="1"/>
      <w:numFmt w:val="bullet"/>
      <w:lvlText w:val="o"/>
      <w:lvlJc w:val="left"/>
      <w:pPr>
        <w:ind w:left="5760" w:hanging="360"/>
      </w:pPr>
      <w:rPr>
        <w:rFonts w:ascii="Courier New" w:hAnsi="Courier New" w:hint="default"/>
      </w:rPr>
    </w:lvl>
    <w:lvl w:ilvl="8" w:tplc="5290F494">
      <w:start w:val="1"/>
      <w:numFmt w:val="bullet"/>
      <w:lvlText w:val=""/>
      <w:lvlJc w:val="left"/>
      <w:pPr>
        <w:ind w:left="6480" w:hanging="360"/>
      </w:pPr>
      <w:rPr>
        <w:rFonts w:ascii="Wingdings" w:hAnsi="Wingdings" w:hint="default"/>
      </w:rPr>
    </w:lvl>
  </w:abstractNum>
  <w:abstractNum w:abstractNumId="29" w15:restartNumberingAfterBreak="0">
    <w:nsid w:val="76074D99"/>
    <w:multiLevelType w:val="multilevel"/>
    <w:tmpl w:val="3A006D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F77EDE"/>
    <w:multiLevelType w:val="multilevel"/>
    <w:tmpl w:val="4DD8D06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4069749">
    <w:abstractNumId w:val="21"/>
  </w:num>
  <w:num w:numId="2" w16cid:durableId="1245843160">
    <w:abstractNumId w:val="10"/>
  </w:num>
  <w:num w:numId="3" w16cid:durableId="904755605">
    <w:abstractNumId w:val="30"/>
  </w:num>
  <w:num w:numId="4" w16cid:durableId="372080182">
    <w:abstractNumId w:val="22"/>
  </w:num>
  <w:num w:numId="5" w16cid:durableId="74909542">
    <w:abstractNumId w:val="3"/>
  </w:num>
  <w:num w:numId="6" w16cid:durableId="1095244294">
    <w:abstractNumId w:val="20"/>
  </w:num>
  <w:num w:numId="7" w16cid:durableId="1824081997">
    <w:abstractNumId w:val="14"/>
  </w:num>
  <w:num w:numId="8" w16cid:durableId="641272673">
    <w:abstractNumId w:val="18"/>
  </w:num>
  <w:num w:numId="9" w16cid:durableId="155733573">
    <w:abstractNumId w:val="6"/>
  </w:num>
  <w:num w:numId="10" w16cid:durableId="1877157191">
    <w:abstractNumId w:val="28"/>
  </w:num>
  <w:num w:numId="11" w16cid:durableId="658853102">
    <w:abstractNumId w:val="27"/>
  </w:num>
  <w:num w:numId="12" w16cid:durableId="487789429">
    <w:abstractNumId w:val="5"/>
  </w:num>
  <w:num w:numId="13" w16cid:durableId="1038622844">
    <w:abstractNumId w:val="29"/>
  </w:num>
  <w:num w:numId="14" w16cid:durableId="1559172888">
    <w:abstractNumId w:val="12"/>
  </w:num>
  <w:num w:numId="15" w16cid:durableId="584071816">
    <w:abstractNumId w:val="25"/>
  </w:num>
  <w:num w:numId="16" w16cid:durableId="2041931696">
    <w:abstractNumId w:val="1"/>
  </w:num>
  <w:num w:numId="17" w16cid:durableId="196428965">
    <w:abstractNumId w:val="11"/>
  </w:num>
  <w:num w:numId="18" w16cid:durableId="499933558">
    <w:abstractNumId w:val="15"/>
  </w:num>
  <w:num w:numId="19" w16cid:durableId="2087072639">
    <w:abstractNumId w:val="9"/>
  </w:num>
  <w:num w:numId="20" w16cid:durableId="249579576">
    <w:abstractNumId w:val="8"/>
  </w:num>
  <w:num w:numId="21" w16cid:durableId="124085948">
    <w:abstractNumId w:val="2"/>
  </w:num>
  <w:num w:numId="22" w16cid:durableId="826283302">
    <w:abstractNumId w:val="23"/>
  </w:num>
  <w:num w:numId="23" w16cid:durableId="2012639006">
    <w:abstractNumId w:val="19"/>
  </w:num>
  <w:num w:numId="24" w16cid:durableId="1866022318">
    <w:abstractNumId w:val="0"/>
  </w:num>
  <w:num w:numId="25" w16cid:durableId="952597374">
    <w:abstractNumId w:val="16"/>
  </w:num>
  <w:num w:numId="26" w16cid:durableId="1963882381">
    <w:abstractNumId w:val="4"/>
  </w:num>
  <w:num w:numId="27" w16cid:durableId="1254506454">
    <w:abstractNumId w:val="17"/>
  </w:num>
  <w:num w:numId="28" w16cid:durableId="180052398">
    <w:abstractNumId w:val="7"/>
  </w:num>
  <w:num w:numId="29" w16cid:durableId="477309204">
    <w:abstractNumId w:val="13"/>
  </w:num>
  <w:num w:numId="30" w16cid:durableId="515536002">
    <w:abstractNumId w:val="26"/>
  </w:num>
  <w:num w:numId="31" w16cid:durableId="5990216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D12"/>
    <w:rsid w:val="00003EE5"/>
    <w:rsid w:val="00007401"/>
    <w:rsid w:val="00007D4C"/>
    <w:rsid w:val="00011CBE"/>
    <w:rsid w:val="0001292C"/>
    <w:rsid w:val="00014080"/>
    <w:rsid w:val="00017595"/>
    <w:rsid w:val="00021AC7"/>
    <w:rsid w:val="00024B2E"/>
    <w:rsid w:val="0003409D"/>
    <w:rsid w:val="00035B71"/>
    <w:rsid w:val="00041F02"/>
    <w:rsid w:val="000423AE"/>
    <w:rsid w:val="000529F5"/>
    <w:rsid w:val="00053183"/>
    <w:rsid w:val="00060918"/>
    <w:rsid w:val="00072D03"/>
    <w:rsid w:val="00074014"/>
    <w:rsid w:val="00077D12"/>
    <w:rsid w:val="00080D1B"/>
    <w:rsid w:val="000854B9"/>
    <w:rsid w:val="000872DD"/>
    <w:rsid w:val="000906D0"/>
    <w:rsid w:val="00091FE7"/>
    <w:rsid w:val="000A510B"/>
    <w:rsid w:val="000B735C"/>
    <w:rsid w:val="000C05C5"/>
    <w:rsid w:val="000C1896"/>
    <w:rsid w:val="000C317C"/>
    <w:rsid w:val="000C413A"/>
    <w:rsid w:val="000C5FD9"/>
    <w:rsid w:val="000D026A"/>
    <w:rsid w:val="000D14DC"/>
    <w:rsid w:val="000D3CC7"/>
    <w:rsid w:val="000D3E50"/>
    <w:rsid w:val="000D4994"/>
    <w:rsid w:val="000D581C"/>
    <w:rsid w:val="000E21F2"/>
    <w:rsid w:val="000E4732"/>
    <w:rsid w:val="000E4B3C"/>
    <w:rsid w:val="000F02F0"/>
    <w:rsid w:val="000F21D9"/>
    <w:rsid w:val="00100427"/>
    <w:rsid w:val="00111D84"/>
    <w:rsid w:val="001178FF"/>
    <w:rsid w:val="00123447"/>
    <w:rsid w:val="00133BE9"/>
    <w:rsid w:val="00133CB9"/>
    <w:rsid w:val="001340F5"/>
    <w:rsid w:val="001363FD"/>
    <w:rsid w:val="001516EC"/>
    <w:rsid w:val="001653CB"/>
    <w:rsid w:val="00167702"/>
    <w:rsid w:val="00173C2E"/>
    <w:rsid w:val="00176DA7"/>
    <w:rsid w:val="001842CD"/>
    <w:rsid w:val="00185AE0"/>
    <w:rsid w:val="0019280E"/>
    <w:rsid w:val="00197FF9"/>
    <w:rsid w:val="001A7064"/>
    <w:rsid w:val="001A72E5"/>
    <w:rsid w:val="001B07BC"/>
    <w:rsid w:val="001B6F0A"/>
    <w:rsid w:val="001B6F90"/>
    <w:rsid w:val="001D0C68"/>
    <w:rsid w:val="001E0AB0"/>
    <w:rsid w:val="001F21DB"/>
    <w:rsid w:val="002003BB"/>
    <w:rsid w:val="00201CD1"/>
    <w:rsid w:val="00205492"/>
    <w:rsid w:val="002068F2"/>
    <w:rsid w:val="00207455"/>
    <w:rsid w:val="00210C61"/>
    <w:rsid w:val="00211D7C"/>
    <w:rsid w:val="002225D6"/>
    <w:rsid w:val="00231C1D"/>
    <w:rsid w:val="00237B34"/>
    <w:rsid w:val="00242234"/>
    <w:rsid w:val="002618E9"/>
    <w:rsid w:val="00263867"/>
    <w:rsid w:val="00271A2B"/>
    <w:rsid w:val="002761D7"/>
    <w:rsid w:val="00281E37"/>
    <w:rsid w:val="002A1E22"/>
    <w:rsid w:val="002B2403"/>
    <w:rsid w:val="002B30D5"/>
    <w:rsid w:val="002E3230"/>
    <w:rsid w:val="002E4284"/>
    <w:rsid w:val="002E4562"/>
    <w:rsid w:val="002E4693"/>
    <w:rsid w:val="002E4A3C"/>
    <w:rsid w:val="002E5AA9"/>
    <w:rsid w:val="003011CB"/>
    <w:rsid w:val="0030319A"/>
    <w:rsid w:val="00303B14"/>
    <w:rsid w:val="0030579E"/>
    <w:rsid w:val="00307D4B"/>
    <w:rsid w:val="00311A0D"/>
    <w:rsid w:val="00320109"/>
    <w:rsid w:val="00320431"/>
    <w:rsid w:val="00322442"/>
    <w:rsid w:val="00322DDB"/>
    <w:rsid w:val="00324F97"/>
    <w:rsid w:val="00325B1D"/>
    <w:rsid w:val="00340893"/>
    <w:rsid w:val="00341184"/>
    <w:rsid w:val="00341AD3"/>
    <w:rsid w:val="00343445"/>
    <w:rsid w:val="003442E4"/>
    <w:rsid w:val="003461BD"/>
    <w:rsid w:val="003476F4"/>
    <w:rsid w:val="0037007E"/>
    <w:rsid w:val="003701E0"/>
    <w:rsid w:val="00375318"/>
    <w:rsid w:val="003809AB"/>
    <w:rsid w:val="003A3D5E"/>
    <w:rsid w:val="003B0D2D"/>
    <w:rsid w:val="003C3FAD"/>
    <w:rsid w:val="003C5CF3"/>
    <w:rsid w:val="003C6299"/>
    <w:rsid w:val="003D1D9E"/>
    <w:rsid w:val="003E0E72"/>
    <w:rsid w:val="003E4673"/>
    <w:rsid w:val="003F1B18"/>
    <w:rsid w:val="003F1C27"/>
    <w:rsid w:val="003F36F8"/>
    <w:rsid w:val="003F7780"/>
    <w:rsid w:val="00400B92"/>
    <w:rsid w:val="00422994"/>
    <w:rsid w:val="00440D1C"/>
    <w:rsid w:val="004476A3"/>
    <w:rsid w:val="00457CCA"/>
    <w:rsid w:val="00462A13"/>
    <w:rsid w:val="004659B8"/>
    <w:rsid w:val="00470C16"/>
    <w:rsid w:val="00472A23"/>
    <w:rsid w:val="0048381F"/>
    <w:rsid w:val="004846AC"/>
    <w:rsid w:val="0049094B"/>
    <w:rsid w:val="00491DEA"/>
    <w:rsid w:val="00492492"/>
    <w:rsid w:val="004A2411"/>
    <w:rsid w:val="004A2D28"/>
    <w:rsid w:val="004A3AFC"/>
    <w:rsid w:val="004B01C3"/>
    <w:rsid w:val="004B4D82"/>
    <w:rsid w:val="004C430B"/>
    <w:rsid w:val="004C673D"/>
    <w:rsid w:val="004D181D"/>
    <w:rsid w:val="004D61C4"/>
    <w:rsid w:val="004D7E24"/>
    <w:rsid w:val="004E095B"/>
    <w:rsid w:val="004F6C04"/>
    <w:rsid w:val="00502A1B"/>
    <w:rsid w:val="005114B3"/>
    <w:rsid w:val="00515689"/>
    <w:rsid w:val="005166A0"/>
    <w:rsid w:val="00516EFF"/>
    <w:rsid w:val="005234D1"/>
    <w:rsid w:val="005257F5"/>
    <w:rsid w:val="00532B24"/>
    <w:rsid w:val="00534C8F"/>
    <w:rsid w:val="00535997"/>
    <w:rsid w:val="00541345"/>
    <w:rsid w:val="0055013E"/>
    <w:rsid w:val="00551EF0"/>
    <w:rsid w:val="00553B39"/>
    <w:rsid w:val="00556704"/>
    <w:rsid w:val="00561BCB"/>
    <w:rsid w:val="00565373"/>
    <w:rsid w:val="005678B6"/>
    <w:rsid w:val="00571B0A"/>
    <w:rsid w:val="00573D01"/>
    <w:rsid w:val="00574D99"/>
    <w:rsid w:val="0057791A"/>
    <w:rsid w:val="00581A0B"/>
    <w:rsid w:val="0058689C"/>
    <w:rsid w:val="005A01AC"/>
    <w:rsid w:val="005A1707"/>
    <w:rsid w:val="005A3CA4"/>
    <w:rsid w:val="005A5956"/>
    <w:rsid w:val="005B681A"/>
    <w:rsid w:val="005B7F97"/>
    <w:rsid w:val="005D7929"/>
    <w:rsid w:val="005D7A45"/>
    <w:rsid w:val="005D7FDF"/>
    <w:rsid w:val="005E0802"/>
    <w:rsid w:val="005F6556"/>
    <w:rsid w:val="006033E0"/>
    <w:rsid w:val="00625AC6"/>
    <w:rsid w:val="006305F3"/>
    <w:rsid w:val="00630D9C"/>
    <w:rsid w:val="00633ACE"/>
    <w:rsid w:val="0064430D"/>
    <w:rsid w:val="006455FB"/>
    <w:rsid w:val="0065446A"/>
    <w:rsid w:val="00654F59"/>
    <w:rsid w:val="00660A2C"/>
    <w:rsid w:val="006743FF"/>
    <w:rsid w:val="00685E16"/>
    <w:rsid w:val="00690036"/>
    <w:rsid w:val="0069359D"/>
    <w:rsid w:val="00693636"/>
    <w:rsid w:val="0069697F"/>
    <w:rsid w:val="006A0126"/>
    <w:rsid w:val="006A231C"/>
    <w:rsid w:val="006A3E0D"/>
    <w:rsid w:val="006A673D"/>
    <w:rsid w:val="006A7B8D"/>
    <w:rsid w:val="006B10AE"/>
    <w:rsid w:val="006B13E1"/>
    <w:rsid w:val="006C0EFF"/>
    <w:rsid w:val="006C2ECF"/>
    <w:rsid w:val="006C66AA"/>
    <w:rsid w:val="006D313E"/>
    <w:rsid w:val="006D3970"/>
    <w:rsid w:val="006D53AB"/>
    <w:rsid w:val="006E3A6F"/>
    <w:rsid w:val="006E6361"/>
    <w:rsid w:val="006E747A"/>
    <w:rsid w:val="00711E8E"/>
    <w:rsid w:val="007155EB"/>
    <w:rsid w:val="007250FD"/>
    <w:rsid w:val="007257AF"/>
    <w:rsid w:val="00726FA8"/>
    <w:rsid w:val="007337CE"/>
    <w:rsid w:val="00741794"/>
    <w:rsid w:val="00741E52"/>
    <w:rsid w:val="007441D5"/>
    <w:rsid w:val="00753A8D"/>
    <w:rsid w:val="00756022"/>
    <w:rsid w:val="00763709"/>
    <w:rsid w:val="00766FD0"/>
    <w:rsid w:val="007755FE"/>
    <w:rsid w:val="00775712"/>
    <w:rsid w:val="00782627"/>
    <w:rsid w:val="00782936"/>
    <w:rsid w:val="00793D3E"/>
    <w:rsid w:val="00796D38"/>
    <w:rsid w:val="007A0F65"/>
    <w:rsid w:val="007A37F3"/>
    <w:rsid w:val="007B4B1A"/>
    <w:rsid w:val="007C1020"/>
    <w:rsid w:val="007C17A8"/>
    <w:rsid w:val="007C2B86"/>
    <w:rsid w:val="007C5F4D"/>
    <w:rsid w:val="007D4BA7"/>
    <w:rsid w:val="007D5364"/>
    <w:rsid w:val="007D6451"/>
    <w:rsid w:val="007D7556"/>
    <w:rsid w:val="007E00A5"/>
    <w:rsid w:val="007E6305"/>
    <w:rsid w:val="0080083E"/>
    <w:rsid w:val="00802B74"/>
    <w:rsid w:val="00802D1B"/>
    <w:rsid w:val="00803594"/>
    <w:rsid w:val="00813A65"/>
    <w:rsid w:val="00814977"/>
    <w:rsid w:val="00814ACF"/>
    <w:rsid w:val="00831F61"/>
    <w:rsid w:val="008322DC"/>
    <w:rsid w:val="00844178"/>
    <w:rsid w:val="008524C5"/>
    <w:rsid w:val="008527B2"/>
    <w:rsid w:val="00852ECD"/>
    <w:rsid w:val="0086248F"/>
    <w:rsid w:val="008639EE"/>
    <w:rsid w:val="00867741"/>
    <w:rsid w:val="0087046F"/>
    <w:rsid w:val="008746E1"/>
    <w:rsid w:val="00891582"/>
    <w:rsid w:val="00891C49"/>
    <w:rsid w:val="008A0BC0"/>
    <w:rsid w:val="008A184A"/>
    <w:rsid w:val="008A4EE0"/>
    <w:rsid w:val="008A564E"/>
    <w:rsid w:val="008B4C46"/>
    <w:rsid w:val="008C0B48"/>
    <w:rsid w:val="008C2ECC"/>
    <w:rsid w:val="008C4BC3"/>
    <w:rsid w:val="008C6315"/>
    <w:rsid w:val="008D2AC0"/>
    <w:rsid w:val="008D360F"/>
    <w:rsid w:val="008D69E0"/>
    <w:rsid w:val="008D7980"/>
    <w:rsid w:val="008E0F6A"/>
    <w:rsid w:val="008E7898"/>
    <w:rsid w:val="008F223A"/>
    <w:rsid w:val="008F251B"/>
    <w:rsid w:val="009001D1"/>
    <w:rsid w:val="00902E28"/>
    <w:rsid w:val="0094302B"/>
    <w:rsid w:val="00943BC2"/>
    <w:rsid w:val="00953557"/>
    <w:rsid w:val="0095649A"/>
    <w:rsid w:val="009564F1"/>
    <w:rsid w:val="0096276D"/>
    <w:rsid w:val="00964856"/>
    <w:rsid w:val="0097722E"/>
    <w:rsid w:val="0098125B"/>
    <w:rsid w:val="009838C8"/>
    <w:rsid w:val="0098438F"/>
    <w:rsid w:val="00985268"/>
    <w:rsid w:val="0098767B"/>
    <w:rsid w:val="0099193E"/>
    <w:rsid w:val="00994D4B"/>
    <w:rsid w:val="00997312"/>
    <w:rsid w:val="00997CBC"/>
    <w:rsid w:val="00997E5E"/>
    <w:rsid w:val="009A0508"/>
    <w:rsid w:val="009A340E"/>
    <w:rsid w:val="009A5258"/>
    <w:rsid w:val="009B14A8"/>
    <w:rsid w:val="009B6FEB"/>
    <w:rsid w:val="009D3F04"/>
    <w:rsid w:val="009D57E0"/>
    <w:rsid w:val="009D62A7"/>
    <w:rsid w:val="009E1369"/>
    <w:rsid w:val="009E2B4F"/>
    <w:rsid w:val="009F1174"/>
    <w:rsid w:val="009F6DCB"/>
    <w:rsid w:val="00A00A75"/>
    <w:rsid w:val="00A0404E"/>
    <w:rsid w:val="00A06BBC"/>
    <w:rsid w:val="00A205D8"/>
    <w:rsid w:val="00A23692"/>
    <w:rsid w:val="00A247CD"/>
    <w:rsid w:val="00A362E1"/>
    <w:rsid w:val="00A46700"/>
    <w:rsid w:val="00A47BC4"/>
    <w:rsid w:val="00A5062A"/>
    <w:rsid w:val="00A516AE"/>
    <w:rsid w:val="00A6059F"/>
    <w:rsid w:val="00A64A73"/>
    <w:rsid w:val="00A6583F"/>
    <w:rsid w:val="00A73039"/>
    <w:rsid w:val="00A74CCC"/>
    <w:rsid w:val="00A81984"/>
    <w:rsid w:val="00A879BD"/>
    <w:rsid w:val="00A91D97"/>
    <w:rsid w:val="00A9563D"/>
    <w:rsid w:val="00AA064B"/>
    <w:rsid w:val="00AB6F12"/>
    <w:rsid w:val="00AC2AAB"/>
    <w:rsid w:val="00AC3B4B"/>
    <w:rsid w:val="00AD3523"/>
    <w:rsid w:val="00AD421C"/>
    <w:rsid w:val="00AE4667"/>
    <w:rsid w:val="00AE50FA"/>
    <w:rsid w:val="00AE66DB"/>
    <w:rsid w:val="00AF1165"/>
    <w:rsid w:val="00B02D35"/>
    <w:rsid w:val="00B04776"/>
    <w:rsid w:val="00B04ACD"/>
    <w:rsid w:val="00B06F1B"/>
    <w:rsid w:val="00B12374"/>
    <w:rsid w:val="00B13710"/>
    <w:rsid w:val="00B24B82"/>
    <w:rsid w:val="00B26CF2"/>
    <w:rsid w:val="00B26F93"/>
    <w:rsid w:val="00B33249"/>
    <w:rsid w:val="00B40051"/>
    <w:rsid w:val="00B400CD"/>
    <w:rsid w:val="00B45262"/>
    <w:rsid w:val="00B54BDE"/>
    <w:rsid w:val="00B62F69"/>
    <w:rsid w:val="00B676AE"/>
    <w:rsid w:val="00B70EF2"/>
    <w:rsid w:val="00B71F6D"/>
    <w:rsid w:val="00B72471"/>
    <w:rsid w:val="00B7315E"/>
    <w:rsid w:val="00B7518D"/>
    <w:rsid w:val="00B75A42"/>
    <w:rsid w:val="00B819DA"/>
    <w:rsid w:val="00B842CF"/>
    <w:rsid w:val="00B9036B"/>
    <w:rsid w:val="00BA3DEC"/>
    <w:rsid w:val="00BB2E72"/>
    <w:rsid w:val="00BB5422"/>
    <w:rsid w:val="00BC2CEF"/>
    <w:rsid w:val="00BC469A"/>
    <w:rsid w:val="00BC4F44"/>
    <w:rsid w:val="00BD2107"/>
    <w:rsid w:val="00BE50E4"/>
    <w:rsid w:val="00BE51B0"/>
    <w:rsid w:val="00BF36BB"/>
    <w:rsid w:val="00BF4119"/>
    <w:rsid w:val="00BF68C0"/>
    <w:rsid w:val="00C018F9"/>
    <w:rsid w:val="00C12195"/>
    <w:rsid w:val="00C15703"/>
    <w:rsid w:val="00C23388"/>
    <w:rsid w:val="00C34F51"/>
    <w:rsid w:val="00C44E5E"/>
    <w:rsid w:val="00C52507"/>
    <w:rsid w:val="00C573C4"/>
    <w:rsid w:val="00C60760"/>
    <w:rsid w:val="00C63546"/>
    <w:rsid w:val="00C63F9B"/>
    <w:rsid w:val="00C65214"/>
    <w:rsid w:val="00C672C6"/>
    <w:rsid w:val="00C70A8E"/>
    <w:rsid w:val="00C73EE5"/>
    <w:rsid w:val="00C75E0E"/>
    <w:rsid w:val="00C76F73"/>
    <w:rsid w:val="00C84534"/>
    <w:rsid w:val="00C91789"/>
    <w:rsid w:val="00C93F10"/>
    <w:rsid w:val="00C950D9"/>
    <w:rsid w:val="00CA5932"/>
    <w:rsid w:val="00CA6C8F"/>
    <w:rsid w:val="00CA77F2"/>
    <w:rsid w:val="00CA7D6F"/>
    <w:rsid w:val="00CB71F6"/>
    <w:rsid w:val="00CB792E"/>
    <w:rsid w:val="00CC3C57"/>
    <w:rsid w:val="00CD1BF2"/>
    <w:rsid w:val="00CE589C"/>
    <w:rsid w:val="00CF1965"/>
    <w:rsid w:val="00D0211B"/>
    <w:rsid w:val="00D02C10"/>
    <w:rsid w:val="00D22236"/>
    <w:rsid w:val="00D227F5"/>
    <w:rsid w:val="00D26B58"/>
    <w:rsid w:val="00D34DD9"/>
    <w:rsid w:val="00D42377"/>
    <w:rsid w:val="00D479BE"/>
    <w:rsid w:val="00D50B31"/>
    <w:rsid w:val="00D61F0E"/>
    <w:rsid w:val="00D71C12"/>
    <w:rsid w:val="00D72748"/>
    <w:rsid w:val="00D85610"/>
    <w:rsid w:val="00D9602E"/>
    <w:rsid w:val="00DA053E"/>
    <w:rsid w:val="00DC20A2"/>
    <w:rsid w:val="00DD338C"/>
    <w:rsid w:val="00DF050A"/>
    <w:rsid w:val="00DF4047"/>
    <w:rsid w:val="00DF7FD6"/>
    <w:rsid w:val="00E110DC"/>
    <w:rsid w:val="00E14113"/>
    <w:rsid w:val="00E14553"/>
    <w:rsid w:val="00E15C37"/>
    <w:rsid w:val="00E20071"/>
    <w:rsid w:val="00E22A0B"/>
    <w:rsid w:val="00E23782"/>
    <w:rsid w:val="00E25C6D"/>
    <w:rsid w:val="00E32491"/>
    <w:rsid w:val="00E33503"/>
    <w:rsid w:val="00E37C8C"/>
    <w:rsid w:val="00E4246F"/>
    <w:rsid w:val="00E4727F"/>
    <w:rsid w:val="00E55420"/>
    <w:rsid w:val="00E626B9"/>
    <w:rsid w:val="00E71D9A"/>
    <w:rsid w:val="00E73448"/>
    <w:rsid w:val="00E73B82"/>
    <w:rsid w:val="00E84498"/>
    <w:rsid w:val="00EA2ABB"/>
    <w:rsid w:val="00EB048E"/>
    <w:rsid w:val="00ED1B70"/>
    <w:rsid w:val="00ED36D4"/>
    <w:rsid w:val="00ED5276"/>
    <w:rsid w:val="00ED5D6A"/>
    <w:rsid w:val="00ED67E0"/>
    <w:rsid w:val="00EF03F4"/>
    <w:rsid w:val="00EF1DCB"/>
    <w:rsid w:val="00F021FB"/>
    <w:rsid w:val="00F0351B"/>
    <w:rsid w:val="00F0361D"/>
    <w:rsid w:val="00F0550B"/>
    <w:rsid w:val="00F07862"/>
    <w:rsid w:val="00F24C6B"/>
    <w:rsid w:val="00F42725"/>
    <w:rsid w:val="00F633BC"/>
    <w:rsid w:val="00F6541B"/>
    <w:rsid w:val="00F65B47"/>
    <w:rsid w:val="00F666D3"/>
    <w:rsid w:val="00F703E4"/>
    <w:rsid w:val="00F719B0"/>
    <w:rsid w:val="00F75DA2"/>
    <w:rsid w:val="00F96D6C"/>
    <w:rsid w:val="00F96F4C"/>
    <w:rsid w:val="00F978BF"/>
    <w:rsid w:val="00FA3BF3"/>
    <w:rsid w:val="00FA4422"/>
    <w:rsid w:val="00FA5381"/>
    <w:rsid w:val="00FA5A03"/>
    <w:rsid w:val="00FA6A23"/>
    <w:rsid w:val="00FB1C87"/>
    <w:rsid w:val="00FB55D1"/>
    <w:rsid w:val="00FB56EA"/>
    <w:rsid w:val="00FB5D18"/>
    <w:rsid w:val="00FB61F5"/>
    <w:rsid w:val="00FC234D"/>
    <w:rsid w:val="00FC567F"/>
    <w:rsid w:val="00FC6F62"/>
    <w:rsid w:val="00FD1E2B"/>
    <w:rsid w:val="00FD56DD"/>
    <w:rsid w:val="00FE6562"/>
    <w:rsid w:val="00FF5361"/>
    <w:rsid w:val="00FF6780"/>
    <w:rsid w:val="00FF6ECA"/>
    <w:rsid w:val="013954E0"/>
    <w:rsid w:val="015F2DDF"/>
    <w:rsid w:val="06523BD4"/>
    <w:rsid w:val="090DFD38"/>
    <w:rsid w:val="0B7F2E4A"/>
    <w:rsid w:val="0CD52EAC"/>
    <w:rsid w:val="13CA159B"/>
    <w:rsid w:val="14AA7CD5"/>
    <w:rsid w:val="1516AB07"/>
    <w:rsid w:val="15372877"/>
    <w:rsid w:val="1540FB3E"/>
    <w:rsid w:val="1E3CBBE5"/>
    <w:rsid w:val="20705AFC"/>
    <w:rsid w:val="24233809"/>
    <w:rsid w:val="24305605"/>
    <w:rsid w:val="26CF23F3"/>
    <w:rsid w:val="2EF49429"/>
    <w:rsid w:val="2F52259A"/>
    <w:rsid w:val="33EF7926"/>
    <w:rsid w:val="33F3C0CC"/>
    <w:rsid w:val="37508597"/>
    <w:rsid w:val="3868C10E"/>
    <w:rsid w:val="39E7EC3B"/>
    <w:rsid w:val="3AF0D50B"/>
    <w:rsid w:val="3B30FD78"/>
    <w:rsid w:val="3F3C0C32"/>
    <w:rsid w:val="3F728544"/>
    <w:rsid w:val="401E38A5"/>
    <w:rsid w:val="40EEC3B6"/>
    <w:rsid w:val="48663DBC"/>
    <w:rsid w:val="4A6508FD"/>
    <w:rsid w:val="4A9D7FDA"/>
    <w:rsid w:val="4CC016EB"/>
    <w:rsid w:val="4CE1A7EB"/>
    <w:rsid w:val="4D6690C2"/>
    <w:rsid w:val="4F30F23C"/>
    <w:rsid w:val="5246AA30"/>
    <w:rsid w:val="52F0ED45"/>
    <w:rsid w:val="5441D26A"/>
    <w:rsid w:val="5495FDD1"/>
    <w:rsid w:val="561BA94E"/>
    <w:rsid w:val="5801CD73"/>
    <w:rsid w:val="5BBAD715"/>
    <w:rsid w:val="5CBE4148"/>
    <w:rsid w:val="5E98182C"/>
    <w:rsid w:val="5FC832C2"/>
    <w:rsid w:val="624FA3A8"/>
    <w:rsid w:val="6714870A"/>
    <w:rsid w:val="71C494FF"/>
    <w:rsid w:val="71D0412B"/>
    <w:rsid w:val="7598C037"/>
    <w:rsid w:val="7AC58971"/>
    <w:rsid w:val="7AC6C8E9"/>
    <w:rsid w:val="7F0CED1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7F29F"/>
  <w15:chartTrackingRefBased/>
  <w15:docId w15:val="{8842D8C7-2BEF-40B7-9EA3-221B4B029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22E"/>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9"/>
    <w:qFormat/>
    <w:rsid w:val="0048381F"/>
    <w:pPr>
      <w:ind w:left="820" w:hanging="70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4B3"/>
    <w:pPr>
      <w:tabs>
        <w:tab w:val="center" w:pos="4819"/>
        <w:tab w:val="right" w:pos="9638"/>
      </w:tabs>
    </w:pPr>
  </w:style>
  <w:style w:type="character" w:customStyle="1" w:styleId="HeaderChar">
    <w:name w:val="Header Char"/>
    <w:basedOn w:val="DefaultParagraphFont"/>
    <w:link w:val="Header"/>
    <w:uiPriority w:val="99"/>
    <w:rsid w:val="005114B3"/>
  </w:style>
  <w:style w:type="paragraph" w:styleId="Footer">
    <w:name w:val="footer"/>
    <w:basedOn w:val="Normal"/>
    <w:link w:val="FooterChar"/>
    <w:uiPriority w:val="99"/>
    <w:unhideWhenUsed/>
    <w:rsid w:val="005114B3"/>
    <w:pPr>
      <w:tabs>
        <w:tab w:val="center" w:pos="4819"/>
        <w:tab w:val="right" w:pos="9638"/>
      </w:tabs>
    </w:pPr>
  </w:style>
  <w:style w:type="character" w:customStyle="1" w:styleId="FooterChar">
    <w:name w:val="Footer Char"/>
    <w:basedOn w:val="DefaultParagraphFont"/>
    <w:link w:val="Footer"/>
    <w:uiPriority w:val="99"/>
    <w:rsid w:val="005114B3"/>
  </w:style>
  <w:style w:type="paragraph" w:customStyle="1" w:styleId="Default">
    <w:name w:val="Default"/>
    <w:rsid w:val="006A673D"/>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1Char">
    <w:name w:val="Heading 1 Char"/>
    <w:basedOn w:val="DefaultParagraphFont"/>
    <w:link w:val="Heading1"/>
    <w:uiPriority w:val="9"/>
    <w:rsid w:val="0048381F"/>
    <w:rPr>
      <w:rFonts w:ascii="Calibri" w:eastAsia="Calibri" w:hAnsi="Calibri" w:cs="Calibri"/>
      <w:b/>
      <w:bCs/>
      <w:lang w:val="en-US"/>
    </w:rPr>
  </w:style>
  <w:style w:type="character" w:styleId="CommentReference">
    <w:name w:val="annotation reference"/>
    <w:basedOn w:val="DefaultParagraphFont"/>
    <w:uiPriority w:val="99"/>
    <w:semiHidden/>
    <w:unhideWhenUsed/>
    <w:rsid w:val="005B681A"/>
    <w:rPr>
      <w:sz w:val="16"/>
      <w:szCs w:val="16"/>
    </w:rPr>
  </w:style>
  <w:style w:type="paragraph" w:styleId="CommentText">
    <w:name w:val="annotation text"/>
    <w:basedOn w:val="Normal"/>
    <w:link w:val="CommentTextChar"/>
    <w:uiPriority w:val="99"/>
    <w:unhideWhenUsed/>
    <w:rsid w:val="005B681A"/>
    <w:rPr>
      <w:sz w:val="20"/>
      <w:szCs w:val="20"/>
    </w:rPr>
  </w:style>
  <w:style w:type="character" w:customStyle="1" w:styleId="CommentTextChar">
    <w:name w:val="Comment Text Char"/>
    <w:basedOn w:val="DefaultParagraphFont"/>
    <w:link w:val="CommentText"/>
    <w:uiPriority w:val="99"/>
    <w:rsid w:val="005B681A"/>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5B681A"/>
    <w:rPr>
      <w:b/>
      <w:bCs/>
    </w:rPr>
  </w:style>
  <w:style w:type="character" w:customStyle="1" w:styleId="CommentSubjectChar">
    <w:name w:val="Comment Subject Char"/>
    <w:basedOn w:val="CommentTextChar"/>
    <w:link w:val="CommentSubject"/>
    <w:uiPriority w:val="99"/>
    <w:semiHidden/>
    <w:rsid w:val="005B681A"/>
    <w:rPr>
      <w:rFonts w:ascii="Calibri" w:eastAsia="Calibri" w:hAnsi="Calibri" w:cs="Calibri"/>
      <w:b/>
      <w:bCs/>
      <w:sz w:val="20"/>
      <w:szCs w:val="20"/>
      <w:lang w:val="en-US"/>
    </w:rPr>
  </w:style>
  <w:style w:type="paragraph" w:styleId="ListParagraph">
    <w:name w:val="List Paragraph"/>
    <w:aliases w:val="EL Paragrafo elenco,Paragrafo elenco puntato,List Bulletized"/>
    <w:basedOn w:val="Normal"/>
    <w:link w:val="ListParagraphChar"/>
    <w:uiPriority w:val="34"/>
    <w:qFormat/>
    <w:rsid w:val="009838C8"/>
    <w:pPr>
      <w:spacing w:before="135"/>
      <w:ind w:left="832" w:hanging="360"/>
    </w:pPr>
  </w:style>
  <w:style w:type="character" w:customStyle="1" w:styleId="ListParagraphChar">
    <w:name w:val="List Paragraph Char"/>
    <w:aliases w:val="EL Paragrafo elenco Char,Paragrafo elenco puntato Char,List Bulletized Char"/>
    <w:link w:val="ListParagraph"/>
    <w:uiPriority w:val="34"/>
    <w:rsid w:val="009838C8"/>
    <w:rPr>
      <w:rFonts w:ascii="Calibri" w:eastAsia="Calibri" w:hAnsi="Calibri" w:cs="Calibri"/>
      <w:lang w:val="en-US"/>
    </w:rPr>
  </w:style>
  <w:style w:type="paragraph" w:styleId="Revision">
    <w:name w:val="Revision"/>
    <w:hidden/>
    <w:uiPriority w:val="99"/>
    <w:semiHidden/>
    <w:rsid w:val="009E2B4F"/>
    <w:pPr>
      <w:spacing w:after="0" w:line="240" w:lineRule="auto"/>
    </w:pPr>
    <w:rPr>
      <w:rFonts w:ascii="Calibri" w:eastAsia="Calibri" w:hAnsi="Calibri" w:cs="Calibri"/>
      <w:lang w:val="en-US"/>
    </w:rPr>
  </w:style>
  <w:style w:type="paragraph" w:customStyle="1" w:styleId="paragraph">
    <w:name w:val="paragraph"/>
    <w:basedOn w:val="Normal"/>
    <w:rsid w:val="008A0BC0"/>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A0BC0"/>
  </w:style>
  <w:style w:type="character" w:customStyle="1" w:styleId="eop">
    <w:name w:val="eop"/>
    <w:basedOn w:val="DefaultParagraphFont"/>
    <w:rsid w:val="008A0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410">
      <w:bodyDiv w:val="1"/>
      <w:marLeft w:val="0"/>
      <w:marRight w:val="0"/>
      <w:marTop w:val="0"/>
      <w:marBottom w:val="0"/>
      <w:divBdr>
        <w:top w:val="none" w:sz="0" w:space="0" w:color="auto"/>
        <w:left w:val="none" w:sz="0" w:space="0" w:color="auto"/>
        <w:bottom w:val="none" w:sz="0" w:space="0" w:color="auto"/>
        <w:right w:val="none" w:sz="0" w:space="0" w:color="auto"/>
      </w:divBdr>
      <w:divsChild>
        <w:div w:id="651103198">
          <w:marLeft w:val="0"/>
          <w:marRight w:val="0"/>
          <w:marTop w:val="0"/>
          <w:marBottom w:val="0"/>
          <w:divBdr>
            <w:top w:val="none" w:sz="0" w:space="0" w:color="auto"/>
            <w:left w:val="none" w:sz="0" w:space="0" w:color="auto"/>
            <w:bottom w:val="none" w:sz="0" w:space="0" w:color="auto"/>
            <w:right w:val="none" w:sz="0" w:space="0" w:color="auto"/>
          </w:divBdr>
        </w:div>
        <w:div w:id="358630415">
          <w:marLeft w:val="0"/>
          <w:marRight w:val="0"/>
          <w:marTop w:val="0"/>
          <w:marBottom w:val="0"/>
          <w:divBdr>
            <w:top w:val="none" w:sz="0" w:space="0" w:color="auto"/>
            <w:left w:val="none" w:sz="0" w:space="0" w:color="auto"/>
            <w:bottom w:val="none" w:sz="0" w:space="0" w:color="auto"/>
            <w:right w:val="none" w:sz="0" w:space="0" w:color="auto"/>
          </w:divBdr>
        </w:div>
      </w:divsChild>
    </w:div>
    <w:div w:id="289866385">
      <w:bodyDiv w:val="1"/>
      <w:marLeft w:val="0"/>
      <w:marRight w:val="0"/>
      <w:marTop w:val="0"/>
      <w:marBottom w:val="0"/>
      <w:divBdr>
        <w:top w:val="none" w:sz="0" w:space="0" w:color="auto"/>
        <w:left w:val="none" w:sz="0" w:space="0" w:color="auto"/>
        <w:bottom w:val="none" w:sz="0" w:space="0" w:color="auto"/>
        <w:right w:val="none" w:sz="0" w:space="0" w:color="auto"/>
      </w:divBdr>
    </w:div>
    <w:div w:id="1062872864">
      <w:bodyDiv w:val="1"/>
      <w:marLeft w:val="0"/>
      <w:marRight w:val="0"/>
      <w:marTop w:val="0"/>
      <w:marBottom w:val="0"/>
      <w:divBdr>
        <w:top w:val="none" w:sz="0" w:space="0" w:color="auto"/>
        <w:left w:val="none" w:sz="0" w:space="0" w:color="auto"/>
        <w:bottom w:val="none" w:sz="0" w:space="0" w:color="auto"/>
        <w:right w:val="none" w:sz="0" w:space="0" w:color="auto"/>
      </w:divBdr>
      <w:divsChild>
        <w:div w:id="1540162666">
          <w:marLeft w:val="0"/>
          <w:marRight w:val="0"/>
          <w:marTop w:val="0"/>
          <w:marBottom w:val="0"/>
          <w:divBdr>
            <w:top w:val="none" w:sz="0" w:space="0" w:color="auto"/>
            <w:left w:val="none" w:sz="0" w:space="0" w:color="auto"/>
            <w:bottom w:val="none" w:sz="0" w:space="0" w:color="auto"/>
            <w:right w:val="none" w:sz="0" w:space="0" w:color="auto"/>
          </w:divBdr>
        </w:div>
        <w:div w:id="1481462348">
          <w:marLeft w:val="0"/>
          <w:marRight w:val="0"/>
          <w:marTop w:val="0"/>
          <w:marBottom w:val="0"/>
          <w:divBdr>
            <w:top w:val="none" w:sz="0" w:space="0" w:color="auto"/>
            <w:left w:val="none" w:sz="0" w:space="0" w:color="auto"/>
            <w:bottom w:val="none" w:sz="0" w:space="0" w:color="auto"/>
            <w:right w:val="none" w:sz="0" w:space="0" w:color="auto"/>
          </w:divBdr>
        </w:div>
        <w:div w:id="1220164109">
          <w:marLeft w:val="0"/>
          <w:marRight w:val="0"/>
          <w:marTop w:val="0"/>
          <w:marBottom w:val="0"/>
          <w:divBdr>
            <w:top w:val="none" w:sz="0" w:space="0" w:color="auto"/>
            <w:left w:val="none" w:sz="0" w:space="0" w:color="auto"/>
            <w:bottom w:val="none" w:sz="0" w:space="0" w:color="auto"/>
            <w:right w:val="none" w:sz="0" w:space="0" w:color="auto"/>
          </w:divBdr>
        </w:div>
        <w:div w:id="189924841">
          <w:marLeft w:val="0"/>
          <w:marRight w:val="0"/>
          <w:marTop w:val="0"/>
          <w:marBottom w:val="0"/>
          <w:divBdr>
            <w:top w:val="none" w:sz="0" w:space="0" w:color="auto"/>
            <w:left w:val="none" w:sz="0" w:space="0" w:color="auto"/>
            <w:bottom w:val="none" w:sz="0" w:space="0" w:color="auto"/>
            <w:right w:val="none" w:sz="0" w:space="0" w:color="auto"/>
          </w:divBdr>
        </w:div>
      </w:divsChild>
    </w:div>
    <w:div w:id="1697191277">
      <w:bodyDiv w:val="1"/>
      <w:marLeft w:val="0"/>
      <w:marRight w:val="0"/>
      <w:marTop w:val="0"/>
      <w:marBottom w:val="0"/>
      <w:divBdr>
        <w:top w:val="none" w:sz="0" w:space="0" w:color="auto"/>
        <w:left w:val="none" w:sz="0" w:space="0" w:color="auto"/>
        <w:bottom w:val="none" w:sz="0" w:space="0" w:color="auto"/>
        <w:right w:val="none" w:sz="0" w:space="0" w:color="auto"/>
      </w:divBdr>
      <w:divsChild>
        <w:div w:id="1145270655">
          <w:marLeft w:val="0"/>
          <w:marRight w:val="0"/>
          <w:marTop w:val="0"/>
          <w:marBottom w:val="0"/>
          <w:divBdr>
            <w:top w:val="none" w:sz="0" w:space="0" w:color="auto"/>
            <w:left w:val="none" w:sz="0" w:space="0" w:color="auto"/>
            <w:bottom w:val="none" w:sz="0" w:space="0" w:color="auto"/>
            <w:right w:val="none" w:sz="0" w:space="0" w:color="auto"/>
          </w:divBdr>
        </w:div>
        <w:div w:id="1367556953">
          <w:marLeft w:val="0"/>
          <w:marRight w:val="0"/>
          <w:marTop w:val="0"/>
          <w:marBottom w:val="0"/>
          <w:divBdr>
            <w:top w:val="none" w:sz="0" w:space="0" w:color="auto"/>
            <w:left w:val="none" w:sz="0" w:space="0" w:color="auto"/>
            <w:bottom w:val="none" w:sz="0" w:space="0" w:color="auto"/>
            <w:right w:val="none" w:sz="0" w:space="0" w:color="auto"/>
          </w:divBdr>
        </w:div>
        <w:div w:id="1329559957">
          <w:marLeft w:val="0"/>
          <w:marRight w:val="0"/>
          <w:marTop w:val="0"/>
          <w:marBottom w:val="0"/>
          <w:divBdr>
            <w:top w:val="none" w:sz="0" w:space="0" w:color="auto"/>
            <w:left w:val="none" w:sz="0" w:space="0" w:color="auto"/>
            <w:bottom w:val="none" w:sz="0" w:space="0" w:color="auto"/>
            <w:right w:val="none" w:sz="0" w:space="0" w:color="auto"/>
          </w:divBdr>
        </w:div>
      </w:divsChild>
    </w:div>
    <w:div w:id="1707562385">
      <w:bodyDiv w:val="1"/>
      <w:marLeft w:val="0"/>
      <w:marRight w:val="0"/>
      <w:marTop w:val="0"/>
      <w:marBottom w:val="0"/>
      <w:divBdr>
        <w:top w:val="none" w:sz="0" w:space="0" w:color="auto"/>
        <w:left w:val="none" w:sz="0" w:space="0" w:color="auto"/>
        <w:bottom w:val="none" w:sz="0" w:space="0" w:color="auto"/>
        <w:right w:val="none" w:sz="0" w:space="0" w:color="auto"/>
      </w:divBdr>
      <w:divsChild>
        <w:div w:id="25832338">
          <w:marLeft w:val="0"/>
          <w:marRight w:val="0"/>
          <w:marTop w:val="0"/>
          <w:marBottom w:val="0"/>
          <w:divBdr>
            <w:top w:val="none" w:sz="0" w:space="0" w:color="auto"/>
            <w:left w:val="none" w:sz="0" w:space="0" w:color="auto"/>
            <w:bottom w:val="none" w:sz="0" w:space="0" w:color="auto"/>
            <w:right w:val="none" w:sz="0" w:space="0" w:color="auto"/>
          </w:divBdr>
        </w:div>
        <w:div w:id="152913927">
          <w:marLeft w:val="0"/>
          <w:marRight w:val="0"/>
          <w:marTop w:val="0"/>
          <w:marBottom w:val="0"/>
          <w:divBdr>
            <w:top w:val="none" w:sz="0" w:space="0" w:color="auto"/>
            <w:left w:val="none" w:sz="0" w:space="0" w:color="auto"/>
            <w:bottom w:val="none" w:sz="0" w:space="0" w:color="auto"/>
            <w:right w:val="none" w:sz="0" w:space="0" w:color="auto"/>
          </w:divBdr>
        </w:div>
        <w:div w:id="182675631">
          <w:marLeft w:val="0"/>
          <w:marRight w:val="0"/>
          <w:marTop w:val="0"/>
          <w:marBottom w:val="0"/>
          <w:divBdr>
            <w:top w:val="none" w:sz="0" w:space="0" w:color="auto"/>
            <w:left w:val="none" w:sz="0" w:space="0" w:color="auto"/>
            <w:bottom w:val="none" w:sz="0" w:space="0" w:color="auto"/>
            <w:right w:val="none" w:sz="0" w:space="0" w:color="auto"/>
          </w:divBdr>
        </w:div>
        <w:div w:id="382028454">
          <w:marLeft w:val="0"/>
          <w:marRight w:val="0"/>
          <w:marTop w:val="0"/>
          <w:marBottom w:val="0"/>
          <w:divBdr>
            <w:top w:val="none" w:sz="0" w:space="0" w:color="auto"/>
            <w:left w:val="none" w:sz="0" w:space="0" w:color="auto"/>
            <w:bottom w:val="none" w:sz="0" w:space="0" w:color="auto"/>
            <w:right w:val="none" w:sz="0" w:space="0" w:color="auto"/>
          </w:divBdr>
        </w:div>
        <w:div w:id="606429970">
          <w:marLeft w:val="0"/>
          <w:marRight w:val="0"/>
          <w:marTop w:val="0"/>
          <w:marBottom w:val="0"/>
          <w:divBdr>
            <w:top w:val="none" w:sz="0" w:space="0" w:color="auto"/>
            <w:left w:val="none" w:sz="0" w:space="0" w:color="auto"/>
            <w:bottom w:val="none" w:sz="0" w:space="0" w:color="auto"/>
            <w:right w:val="none" w:sz="0" w:space="0" w:color="auto"/>
          </w:divBdr>
        </w:div>
        <w:div w:id="729232953">
          <w:marLeft w:val="0"/>
          <w:marRight w:val="0"/>
          <w:marTop w:val="0"/>
          <w:marBottom w:val="0"/>
          <w:divBdr>
            <w:top w:val="none" w:sz="0" w:space="0" w:color="auto"/>
            <w:left w:val="none" w:sz="0" w:space="0" w:color="auto"/>
            <w:bottom w:val="none" w:sz="0" w:space="0" w:color="auto"/>
            <w:right w:val="none" w:sz="0" w:space="0" w:color="auto"/>
          </w:divBdr>
        </w:div>
        <w:div w:id="850148801">
          <w:marLeft w:val="0"/>
          <w:marRight w:val="0"/>
          <w:marTop w:val="0"/>
          <w:marBottom w:val="0"/>
          <w:divBdr>
            <w:top w:val="none" w:sz="0" w:space="0" w:color="auto"/>
            <w:left w:val="none" w:sz="0" w:space="0" w:color="auto"/>
            <w:bottom w:val="none" w:sz="0" w:space="0" w:color="auto"/>
            <w:right w:val="none" w:sz="0" w:space="0" w:color="auto"/>
          </w:divBdr>
        </w:div>
        <w:div w:id="1037775222">
          <w:marLeft w:val="0"/>
          <w:marRight w:val="0"/>
          <w:marTop w:val="0"/>
          <w:marBottom w:val="0"/>
          <w:divBdr>
            <w:top w:val="none" w:sz="0" w:space="0" w:color="auto"/>
            <w:left w:val="none" w:sz="0" w:space="0" w:color="auto"/>
            <w:bottom w:val="none" w:sz="0" w:space="0" w:color="auto"/>
            <w:right w:val="none" w:sz="0" w:space="0" w:color="auto"/>
          </w:divBdr>
        </w:div>
        <w:div w:id="1398479189">
          <w:marLeft w:val="0"/>
          <w:marRight w:val="0"/>
          <w:marTop w:val="0"/>
          <w:marBottom w:val="0"/>
          <w:divBdr>
            <w:top w:val="none" w:sz="0" w:space="0" w:color="auto"/>
            <w:left w:val="none" w:sz="0" w:space="0" w:color="auto"/>
            <w:bottom w:val="none" w:sz="0" w:space="0" w:color="auto"/>
            <w:right w:val="none" w:sz="0" w:space="0" w:color="auto"/>
          </w:divBdr>
        </w:div>
        <w:div w:id="1403023074">
          <w:marLeft w:val="0"/>
          <w:marRight w:val="0"/>
          <w:marTop w:val="0"/>
          <w:marBottom w:val="0"/>
          <w:divBdr>
            <w:top w:val="none" w:sz="0" w:space="0" w:color="auto"/>
            <w:left w:val="none" w:sz="0" w:space="0" w:color="auto"/>
            <w:bottom w:val="none" w:sz="0" w:space="0" w:color="auto"/>
            <w:right w:val="none" w:sz="0" w:space="0" w:color="auto"/>
          </w:divBdr>
        </w:div>
        <w:div w:id="1536844897">
          <w:marLeft w:val="0"/>
          <w:marRight w:val="0"/>
          <w:marTop w:val="0"/>
          <w:marBottom w:val="0"/>
          <w:divBdr>
            <w:top w:val="none" w:sz="0" w:space="0" w:color="auto"/>
            <w:left w:val="none" w:sz="0" w:space="0" w:color="auto"/>
            <w:bottom w:val="none" w:sz="0" w:space="0" w:color="auto"/>
            <w:right w:val="none" w:sz="0" w:space="0" w:color="auto"/>
          </w:divBdr>
        </w:div>
        <w:div w:id="1775976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Flow_SignoffStatus xmlns="bbc98045-3ada-4f84-8af5-a87014da0fa5"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E435B8-81DE-4CCC-9149-5B9D00ABF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7391E-DD5C-4838-A137-AC1C34AA7ADF}">
  <ds:schemaRefs>
    <ds:schemaRef ds:uri="http://schemas.microsoft.com/sharepoint/v3/contenttype/forms"/>
  </ds:schemaRefs>
</ds:datastoreItem>
</file>

<file path=customXml/itemProps3.xml><?xml version="1.0" encoding="utf-8"?>
<ds:datastoreItem xmlns:ds="http://schemas.openxmlformats.org/officeDocument/2006/customXml" ds:itemID="{1837CA6E-2D76-4089-894C-A6301A73AE1E}">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Maria Iurato</dc:creator>
  <cp:keywords/>
  <dc:description/>
  <cp:lastModifiedBy>Francesca Pallanca</cp:lastModifiedBy>
  <cp:revision>29</cp:revision>
  <cp:lastPrinted>2022-04-14T16:55:00Z</cp:lastPrinted>
  <dcterms:created xsi:type="dcterms:W3CDTF">2023-10-10T11:40:00Z</dcterms:created>
  <dcterms:modified xsi:type="dcterms:W3CDTF">2024-02-20T09:26:00Z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